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jc w:val="center"/>
        <w:rPr>
          <w:rFonts w:hint="default" w:eastAsia="等线"/>
          <w:b/>
          <w:sz w:val="24"/>
          <w:lang w:val="en-US" w:eastAsia="zh-CN"/>
        </w:rPr>
      </w:pPr>
      <w:r>
        <w:rPr>
          <w:rFonts w:eastAsia="等线"/>
          <w:b/>
          <w:sz w:val="24"/>
          <w:lang w:val="en-US" w:eastAsia="zh-CN"/>
        </w:rPr>
        <w:t>3GPP TSG-RAN WG2 Meeting #12</w:t>
      </w:r>
      <w:r>
        <w:rPr>
          <w:rFonts w:hint="eastAsia" w:eastAsia="等线"/>
          <w:b/>
          <w:sz w:val="24"/>
          <w:lang w:val="en-US" w:eastAsia="zh-CN"/>
        </w:rPr>
        <w:t>5</w:t>
      </w:r>
      <w:r>
        <w:rPr>
          <w:rFonts w:eastAsia="等线"/>
          <w:b/>
          <w:sz w:val="24"/>
          <w:lang w:val="en-US" w:eastAsia="zh-CN"/>
        </w:rPr>
        <w:tab/>
      </w:r>
      <w:r>
        <w:rPr>
          <w:rFonts w:hint="eastAsia" w:eastAsia="等线" w:cs="Arial"/>
          <w:b/>
          <w:i/>
          <w:sz w:val="22"/>
          <w:szCs w:val="22"/>
          <w:lang w:val="en-US"/>
        </w:rPr>
        <w:t>R2-2</w:t>
      </w:r>
      <w:r>
        <w:rPr>
          <w:rFonts w:hint="eastAsia" w:eastAsia="等线" w:cs="Arial"/>
          <w:b/>
          <w:i/>
          <w:sz w:val="22"/>
          <w:szCs w:val="22"/>
          <w:lang w:val="en-US" w:eastAsia="zh-CN"/>
        </w:rPr>
        <w:t>400289</w:t>
      </w:r>
    </w:p>
    <w:p>
      <w:pPr>
        <w:tabs>
          <w:tab w:val="left" w:pos="1979"/>
        </w:tabs>
        <w:rPr>
          <w:rFonts w:ascii="Arial" w:hAnsi="Arial" w:eastAsia="等线"/>
          <w:b/>
          <w:sz w:val="24"/>
          <w:lang w:val="en-US" w:eastAsia="zh-CN"/>
        </w:rPr>
      </w:pPr>
      <w:r>
        <w:rPr>
          <w:rFonts w:hint="eastAsia" w:ascii="Arial" w:hAnsi="Arial" w:eastAsia="等线"/>
          <w:b/>
          <w:sz w:val="24"/>
          <w:lang w:val="en-US" w:eastAsia="zh-CN"/>
        </w:rPr>
        <w:t>Athens</w:t>
      </w:r>
      <w:r>
        <w:rPr>
          <w:rFonts w:ascii="Arial" w:hAnsi="Arial" w:eastAsia="等线"/>
          <w:b/>
          <w:sz w:val="24"/>
          <w:lang w:val="en-US" w:eastAsia="zh-CN"/>
        </w:rPr>
        <w:t xml:space="preserve">, </w:t>
      </w:r>
      <w:r>
        <w:rPr>
          <w:rFonts w:hint="eastAsia" w:ascii="Arial" w:hAnsi="Arial" w:eastAsia="等线"/>
          <w:b/>
          <w:sz w:val="24"/>
          <w:lang w:val="en-US" w:eastAsia="zh-CN"/>
        </w:rPr>
        <w:t>Greece</w:t>
      </w:r>
      <w:r>
        <w:rPr>
          <w:rFonts w:ascii="Arial" w:hAnsi="Arial" w:eastAsia="等线"/>
          <w:b/>
          <w:sz w:val="24"/>
          <w:lang w:val="en-US" w:eastAsia="zh-CN"/>
        </w:rPr>
        <w:t xml:space="preserve">, </w:t>
      </w:r>
      <w:r>
        <w:rPr>
          <w:rFonts w:hint="eastAsia" w:ascii="Arial" w:hAnsi="Arial" w:eastAsia="等线"/>
          <w:b/>
          <w:sz w:val="24"/>
          <w:lang w:val="en-US" w:eastAsia="zh-CN"/>
        </w:rPr>
        <w:t xml:space="preserve"> Feb. 26</w:t>
      </w:r>
      <w:r>
        <w:rPr>
          <w:rFonts w:ascii="Arial" w:hAnsi="Arial" w:eastAsia="等线"/>
          <w:b/>
          <w:sz w:val="24"/>
          <w:lang w:val="en-US" w:eastAsia="zh-CN"/>
        </w:rPr>
        <w:t xml:space="preserve">th – </w:t>
      </w:r>
      <w:r>
        <w:rPr>
          <w:rFonts w:hint="eastAsia" w:ascii="Arial" w:hAnsi="Arial" w:eastAsia="等线"/>
          <w:b/>
          <w:sz w:val="24"/>
          <w:lang w:val="en-US" w:eastAsia="zh-CN"/>
        </w:rPr>
        <w:t>Mar. 1th</w:t>
      </w:r>
      <w:r>
        <w:rPr>
          <w:rFonts w:ascii="Arial" w:hAnsi="Arial" w:eastAsia="等线"/>
          <w:b/>
          <w:sz w:val="24"/>
          <w:lang w:val="en-US" w:eastAsia="zh-CN"/>
        </w:rPr>
        <w:t>, 202</w:t>
      </w:r>
      <w:r>
        <w:rPr>
          <w:rFonts w:hint="eastAsia" w:ascii="Arial" w:hAnsi="Arial" w:eastAsia="等线"/>
          <w:b/>
          <w:sz w:val="24"/>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rFonts w:hint="default" w:eastAsiaTheme="minorEastAsia"/>
                <w:b/>
                <w:sz w:val="28"/>
                <w:lang w:val="en-US" w:eastAsia="zh-CN"/>
              </w:rPr>
            </w:pPr>
            <w:r>
              <w:rPr>
                <w:b/>
                <w:sz w:val="28"/>
              </w:rPr>
              <w:t>38.3</w:t>
            </w:r>
            <w:r>
              <w:rPr>
                <w:rFonts w:hint="eastAsia"/>
                <w:b/>
                <w:sz w:val="28"/>
                <w:lang w:val="en-US" w:eastAsia="zh-CN"/>
              </w:rPr>
              <w:t>21</w:t>
            </w:r>
          </w:p>
        </w:tc>
        <w:tc>
          <w:tcPr>
            <w:tcW w:w="709" w:type="dxa"/>
          </w:tcPr>
          <w:p>
            <w:pPr>
              <w:pStyle w:val="91"/>
              <w:spacing w:after="0"/>
              <w:jc w:val="center"/>
            </w:pPr>
            <w:r>
              <w:rPr>
                <w:b/>
                <w:sz w:val="28"/>
              </w:rPr>
              <w:t>CR</w:t>
            </w:r>
          </w:p>
        </w:tc>
        <w:tc>
          <w:tcPr>
            <w:tcW w:w="1276" w:type="dxa"/>
            <w:shd w:val="pct30" w:color="FFFF00" w:fill="auto"/>
          </w:tcPr>
          <w:p>
            <w:pPr>
              <w:pStyle w:val="91"/>
              <w:spacing w:after="0"/>
              <w:jc w:val="right"/>
            </w:pP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fldChar w:fldCharType="end"/>
            </w:r>
            <w:r>
              <w:rPr>
                <w:b/>
              </w:rPr>
              <w:t xml:space="preserve"> </w:t>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r>
              <w:rPr>
                <w:b/>
                <w:caps/>
                <w:lang w:eastAsia="zh-CN"/>
              </w:rPr>
              <w:t>x</w:t>
            </w: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rPr>
                <w:rFonts w:hint="default" w:eastAsiaTheme="minorEastAsia"/>
                <w:lang w:val="en-US" w:eastAsia="zh-CN"/>
              </w:rPr>
            </w:pPr>
            <w:r>
              <w:rPr>
                <w:rFonts w:hint="eastAsia"/>
              </w:rPr>
              <w:t>Correction on initialization of RRC parameter in RA procedure</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t>Xiaomi</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SourceIfTsg  \* MERGEFORMAT </w:instrText>
            </w:r>
            <w:r>
              <w:fldChar w:fldCharType="separate"/>
            </w:r>
            <w:r>
              <w:t>RAN2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t>NR_SmallData_INACTIVE-Core, NR_cov_enh-Core, NR_redcap-Core, NR_slice-Core</w:t>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rPr>
                <w:rFonts w:hint="default" w:eastAsiaTheme="minorEastAsia"/>
                <w:lang w:val="en-US" w:eastAsia="zh-CN"/>
              </w:rPr>
            </w:pPr>
            <w:r>
              <w:t xml:space="preserve"> 202</w:t>
            </w:r>
            <w:r>
              <w:rPr>
                <w:rFonts w:hint="eastAsia"/>
                <w:lang w:val="en-US" w:eastAsia="zh-CN"/>
              </w:rPr>
              <w:t>4</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rFonts w:hint="eastAsia" w:eastAsiaTheme="minorEastAsia"/>
                <w:b/>
                <w:lang w:eastAsia="zh-CN"/>
              </w:rPr>
            </w:pPr>
            <w:r>
              <w:rPr>
                <w:rFonts w:hint="eastAsia"/>
                <w:b/>
                <w:lang w:val="en-US" w:eastAsia="zh-CN"/>
              </w:rPr>
              <w:t>A</w:t>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rPr>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overflowPunct w:val="0"/>
                    <w:autoSpaceDE w:val="0"/>
                    <w:autoSpaceDN w:val="0"/>
                    <w:adjustRightInd w:val="0"/>
                    <w:textAlignment w:val="baseline"/>
                    <w:rPr>
                      <w:rFonts w:hint="default" w:eastAsiaTheme="minorEastAsia"/>
                      <w:lang w:val="en-US" w:eastAsia="zh-CN"/>
                    </w:rPr>
                  </w:pPr>
                  <w:bookmarkStart w:id="1" w:name="_Toc37296175"/>
                  <w:bookmarkStart w:id="2" w:name="_Toc29239820"/>
                  <w:bookmarkStart w:id="3" w:name="_Toc52751996"/>
                  <w:bookmarkStart w:id="4" w:name="_Toc52796458"/>
                  <w:bookmarkStart w:id="5" w:name="_Toc155996137"/>
                  <w:bookmarkStart w:id="6" w:name="_Toc46490301"/>
                  <w:r>
                    <w:rPr>
                      <w:rFonts w:hint="eastAsia"/>
                      <w:lang w:val="en-US" w:eastAsia="zh-CN"/>
                    </w:rPr>
                    <w:t xml:space="preserve">In current 38.321 </w:t>
                  </w:r>
                  <w:r>
                    <w:rPr>
                      <w:lang w:eastAsia="ko-KR"/>
                    </w:rPr>
                    <w:t>Random Access procedure initialization</w:t>
                  </w:r>
                  <w:r>
                    <w:rPr>
                      <w:rFonts w:hint="eastAsia"/>
                      <w:lang w:val="en-US" w:eastAsia="zh-CN"/>
                    </w:rPr>
                    <w:t xml:space="preserve"> procedure,  RRC parameters are initialized according to the configured value. However, only variables require initialization.  RRC parameters never need to be initialized</w:t>
                  </w:r>
                  <w:r>
                    <w:rPr>
                      <w:rFonts w:hint="eastAsia" w:eastAsia="宋体" w:cs="Times New Roman"/>
                      <w:lang w:val="en-US" w:eastAsia="zh-CN"/>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hint="eastAsia" w:ascii="Arial" w:hAnsi="Arial" w:eastAsia="Times New Roman" w:cs="Times New Roman"/>
                      <w:sz w:val="28"/>
                      <w:lang w:val="en-GB" w:eastAsia="ko-KR" w:bidi="ar-SA"/>
                    </w:rPr>
                  </w:pPr>
                  <w:r>
                    <w:rPr>
                      <w:rFonts w:hint="eastAsia" w:ascii="Arial" w:hAnsi="Arial" w:eastAsia="Times New Roman" w:cs="Times New Roman"/>
                      <w:sz w:val="28"/>
                      <w:lang w:val="en-GB" w:eastAsia="ko-KR" w:bidi="ar-SA"/>
                    </w:rPr>
                    <w:t>5.1.1</w:t>
                  </w:r>
                  <w:r>
                    <w:rPr>
                      <w:rFonts w:hint="eastAsia" w:ascii="Arial" w:hAnsi="Arial" w:eastAsia="Times New Roman" w:cs="Times New Roman"/>
                      <w:sz w:val="28"/>
                      <w:lang w:val="en-GB" w:eastAsia="ko-KR" w:bidi="ar-SA"/>
                    </w:rPr>
                    <w:tab/>
                  </w:r>
                  <w:r>
                    <w:rPr>
                      <w:rFonts w:hint="eastAsia" w:ascii="Arial" w:hAnsi="Arial" w:eastAsia="Times New Roman" w:cs="Times New Roman"/>
                      <w:sz w:val="28"/>
                      <w:lang w:val="en-GB" w:eastAsia="ko-KR" w:bidi="ar-SA"/>
                    </w:rPr>
                    <w:t>Random Access procedure initialization</w:t>
                  </w:r>
                  <w:bookmarkEnd w:id="1"/>
                  <w:bookmarkEnd w:id="2"/>
                  <w:bookmarkEnd w:id="3"/>
                  <w:bookmarkEnd w:id="4"/>
                  <w:bookmarkEnd w:id="5"/>
                  <w:bookmarkEnd w:id="6"/>
                </w:p>
                <w:p>
                  <w:pPr>
                    <w:overflowPunct w:val="0"/>
                    <w:autoSpaceDE w:val="0"/>
                    <w:autoSpaceDN w:val="0"/>
                    <w:adjustRightInd w:val="0"/>
                    <w:textAlignment w:val="baseline"/>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overflowPunct w:val="0"/>
                    <w:autoSpaceDE w:val="0"/>
                    <w:autoSpaceDN w:val="0"/>
                    <w:adjustRightInd w:val="0"/>
                    <w:textAlignment w:val="baseline"/>
                    <w:rPr>
                      <w:rFonts w:hint="eastAsia" w:ascii="Times New Roman" w:hAnsi="Times New Roman" w:eastAsia="Times New Roman" w:cs="Times New Roman"/>
                      <w:lang w:eastAsia="ko-KR"/>
                    </w:rPr>
                  </w:pPr>
                  <w:r>
                    <w:rPr>
                      <w:rFonts w:hint="eastAsia" w:ascii="Times New Roman" w:hAnsi="Times New Roman" w:eastAsia="Times New Roman" w:cs="Times New Roman"/>
                      <w:lang w:eastAsia="ko-KR"/>
                    </w:rPr>
                    <w:t xml:space="preserve">When a Random Access procedure is initiated, </w:t>
                  </w:r>
                  <w:r>
                    <w:rPr>
                      <w:rFonts w:hint="eastAsia" w:ascii="Times New Roman" w:hAnsi="Times New Roman" w:eastAsia="Times New Roman" w:cs="Times New Roman"/>
                      <w:highlight w:val="yellow"/>
                      <w:lang w:eastAsia="ko-KR"/>
                    </w:rPr>
                    <w:t>UE selects a set of Random Access resources as specified in clause 5.1.1b</w:t>
                  </w:r>
                  <w:r>
                    <w:rPr>
                      <w:rFonts w:hint="eastAsia" w:ascii="Times New Roman" w:hAnsi="Times New Roman" w:eastAsia="Times New Roman" w:cs="Times New Roman"/>
                      <w:lang w:eastAsia="ko-KR"/>
                    </w:rPr>
                    <w:t xml:space="preserve"> and </w:t>
                  </w:r>
                  <w:r>
                    <w:rPr>
                      <w:rFonts w:hint="eastAsia" w:ascii="Times New Roman" w:hAnsi="Times New Roman" w:eastAsia="Times New Roman" w:cs="Times New Roman"/>
                      <w:highlight w:val="yellow"/>
                      <w:lang w:eastAsia="ko-KR"/>
                    </w:rPr>
                    <w:t>initialises the following parameters</w:t>
                  </w:r>
                  <w:r>
                    <w:rPr>
                      <w:rFonts w:hint="eastAsia" w:ascii="Times New Roman" w:hAnsi="Times New Roman" w:eastAsia="Times New Roman" w:cs="Times New Roman"/>
                      <w:lang w:eastAsia="ko-KR"/>
                    </w:rPr>
                    <w:t xml:space="preserve"> for the Random Access procedure</w:t>
                  </w:r>
                  <w:r>
                    <w:rPr>
                      <w:rFonts w:hint="eastAsia" w:ascii="Times New Roman" w:hAnsi="Times New Roman" w:eastAsia="Times New Roman" w:cs="Times New Roman"/>
                      <w:highlight w:val="yellow"/>
                      <w:lang w:eastAsia="ko-KR"/>
                    </w:rPr>
                    <w:t xml:space="preserve"> according to the values configured by RRC</w:t>
                  </w:r>
                  <w:r>
                    <w:rPr>
                      <w:rFonts w:hint="eastAsia" w:ascii="Times New Roman" w:hAnsi="Times New Roman" w:eastAsia="Times New Roman" w:cs="Times New Roman"/>
                      <w:lang w:eastAsia="ko-KR"/>
                    </w:rPr>
                    <w:t xml:space="preserve"> for the selected set of Random Access resources:</w:t>
                  </w:r>
                </w:p>
                <w:p>
                  <w:pPr>
                    <w:overflowPunct w:val="0"/>
                    <w:autoSpaceDE w:val="0"/>
                    <w:autoSpaceDN w:val="0"/>
                    <w:adjustRightInd w:val="0"/>
                    <w:spacing w:after="180"/>
                    <w:ind w:left="568" w:hanging="284"/>
                    <w:textAlignment w:val="baseline"/>
                    <w:rPr>
                      <w:rFonts w:hint="eastAsia" w:ascii="Times New Roman" w:hAnsi="Times New Roman" w:eastAsia="Times New Roman" w:cs="Times New Roman"/>
                      <w:lang w:val="en-GB" w:eastAsia="ko-KR" w:bidi="ar-SA"/>
                    </w:rPr>
                  </w:pPr>
                  <w:r>
                    <w:rPr>
                      <w:rFonts w:hint="eastAsia" w:ascii="Times New Roman" w:hAnsi="Times New Roman" w:eastAsia="Times New Roman" w:cs="Times New Roman"/>
                      <w:lang w:val="en-GB" w:eastAsia="ko-KR" w:bidi="ar-SA"/>
                    </w:rPr>
                    <w:t>-</w:t>
                  </w:r>
                  <w:r>
                    <w:rPr>
                      <w:rFonts w:hint="eastAsia" w:ascii="Times New Roman" w:hAnsi="Times New Roman" w:eastAsia="Times New Roman" w:cs="Times New Roman"/>
                      <w:lang w:val="en-GB" w:eastAsia="ko-KR" w:bidi="ar-SA"/>
                    </w:rPr>
                    <w:tab/>
                  </w:r>
                  <w:r>
                    <w:rPr>
                      <w:rFonts w:hint="eastAsia" w:ascii="Times New Roman" w:hAnsi="Times New Roman" w:eastAsia="Times New Roman" w:cs="Times New Roman"/>
                      <w:i/>
                      <w:lang w:val="en-GB" w:eastAsia="ko-KR" w:bidi="ar-SA"/>
                    </w:rPr>
                    <w:t>prach-ConfigurationIndex</w:t>
                  </w:r>
                  <w:r>
                    <w:rPr>
                      <w:rFonts w:hint="eastAsia" w:ascii="Times New Roman" w:hAnsi="Times New Roman" w:eastAsia="Times New Roman" w:cs="Times New Roman"/>
                      <w:lang w:val="en-GB" w:eastAsia="ko-KR" w:bidi="ar-SA"/>
                    </w:rPr>
                    <w:t>: the available set of PRACH occasions for the transmission of the Random Access Preamble for Msg1. These are also applicable to the MSGA PRACH if the PRACH occasions are shared between 2-step and 4-step RA types;</w:t>
                  </w:r>
                </w:p>
                <w:p>
                  <w:pPr>
                    <w:overflowPunct w:val="0"/>
                    <w:autoSpaceDE w:val="0"/>
                    <w:autoSpaceDN w:val="0"/>
                    <w:adjustRightInd w:val="0"/>
                    <w:spacing w:after="180"/>
                    <w:ind w:left="568" w:hanging="284"/>
                    <w:textAlignment w:val="baseline"/>
                    <w:rPr>
                      <w:rFonts w:hint="eastAsia" w:ascii="Times New Roman" w:hAnsi="Times New Roman" w:eastAsia="Times New Roman" w:cs="Times New Roman"/>
                      <w:lang w:val="en-GB" w:eastAsia="ko-KR" w:bidi="ar-SA"/>
                    </w:rPr>
                  </w:pPr>
                  <w:r>
                    <w:rPr>
                      <w:rFonts w:hint="eastAsia" w:ascii="Times New Roman" w:hAnsi="Times New Roman" w:eastAsia="Times New Roman" w:cs="Times New Roman"/>
                      <w:lang w:val="en-GB" w:eastAsia="ko-KR" w:bidi="ar-SA"/>
                    </w:rPr>
                    <w:t>-</w:t>
                  </w:r>
                  <w:r>
                    <w:rPr>
                      <w:rFonts w:hint="eastAsia" w:ascii="Times New Roman" w:hAnsi="Times New Roman" w:eastAsia="Times New Roman" w:cs="Times New Roman"/>
                      <w:lang w:val="en-GB" w:eastAsia="ko-KR" w:bidi="ar-SA"/>
                    </w:rPr>
                    <w:tab/>
                  </w:r>
                  <w:r>
                    <w:rPr>
                      <w:rFonts w:hint="eastAsia" w:ascii="Times New Roman" w:hAnsi="Times New Roman" w:eastAsia="Times New Roman" w:cs="Times New Roman"/>
                      <w:i/>
                      <w:lang w:val="en-GB" w:eastAsia="ko-KR" w:bidi="ar-SA"/>
                    </w:rPr>
                    <w:t>prach-ConfigurationPeriodScaling-IAB</w:t>
                  </w:r>
                  <w:r>
                    <w:rPr>
                      <w:rFonts w:hint="eastAsia" w:ascii="Times New Roman" w:hAnsi="Times New Roman" w:eastAsia="Times New Roman" w:cs="Times New Roman"/>
                      <w:lang w:val="en-GB" w:eastAsia="ko-KR" w:bidi="ar-SA"/>
                    </w:rPr>
                    <w:t xml:space="preserve">: the scaling factor defined in TS 38.211 [8] and applicable to IAB-MTs, extending the periodicity of the PRACH occasions baseline configuration indicated by </w:t>
                  </w:r>
                  <w:r>
                    <w:rPr>
                      <w:rFonts w:hint="eastAsia" w:ascii="Times New Roman" w:hAnsi="Times New Roman" w:eastAsia="Times New Roman" w:cs="Times New Roman"/>
                      <w:i/>
                      <w:lang w:val="en-GB" w:eastAsia="ko-KR" w:bidi="ar-SA"/>
                    </w:rPr>
                    <w:t>prach-ConfigurationIndex</w:t>
                  </w:r>
                  <w:r>
                    <w:rPr>
                      <w:rFonts w:hint="eastAsia" w:ascii="Times New Roman" w:hAnsi="Times New Roman" w:eastAsia="Times New Roman" w:cs="Times New Roman"/>
                      <w:lang w:val="en-GB" w:eastAsia="ko-KR" w:bidi="ar-SA"/>
                    </w:rPr>
                    <w:t>;</w:t>
                  </w:r>
                </w:p>
                <w:p>
                  <w:pPr>
                    <w:pStyle w:val="91"/>
                    <w:spacing w:after="0"/>
                    <w:rPr>
                      <w:rFonts w:hint="eastAsia"/>
                      <w:vertAlign w:val="baseline"/>
                      <w:lang w:val="en-US" w:eastAsia="zh-CN"/>
                    </w:rPr>
                  </w:pPr>
                  <w:r>
                    <w:rPr>
                      <w:rFonts w:hint="eastAsia"/>
                      <w:vertAlign w:val="baseline"/>
                      <w:lang w:val="en-US" w:eastAsia="zh-CN"/>
                    </w:rPr>
                    <w:t>...</w:t>
                  </w:r>
                </w:p>
                <w:p>
                  <w:pPr>
                    <w:pStyle w:val="91"/>
                    <w:spacing w:after="0"/>
                    <w:rPr>
                      <w:rFonts w:hint="default"/>
                      <w:vertAlign w:val="baseline"/>
                      <w:lang w:val="en-US" w:eastAsia="zh-CN"/>
                    </w:rPr>
                  </w:pPr>
                </w:p>
              </w:tc>
            </w:tr>
          </w:tbl>
          <w:p>
            <w:pPr>
              <w:pStyle w:val="91"/>
              <w:spacing w:after="0"/>
              <w:ind w:left="100"/>
              <w:rPr>
                <w:rFonts w:hint="default"/>
                <w:lang w:val="en-US" w:eastAsia="zh-CN"/>
              </w:rPr>
            </w:pPr>
          </w:p>
          <w:p>
            <w:pPr>
              <w:pStyle w:val="9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rPr>
                <w:rFonts w:hint="eastAsia"/>
                <w:lang w:val="en-US" w:eastAsia="zh-CN"/>
              </w:rPr>
            </w:pPr>
            <w:r>
              <w:rPr>
                <w:rFonts w:hint="eastAsia"/>
                <w:lang w:val="en-US" w:eastAsia="zh-CN"/>
              </w:rPr>
              <w:t xml:space="preserve">Avoid using the wording </w:t>
            </w:r>
            <w:r>
              <w:rPr>
                <w:rFonts w:hint="default"/>
                <w:lang w:val="en-US" w:eastAsia="zh-CN"/>
              </w:rPr>
              <w:t>‘</w:t>
            </w:r>
            <w:r>
              <w:rPr>
                <w:rFonts w:hint="eastAsia"/>
                <w:lang w:val="en-US" w:eastAsia="zh-CN"/>
              </w:rPr>
              <w:t>initialise</w:t>
            </w:r>
            <w:r>
              <w:rPr>
                <w:rFonts w:hint="default"/>
                <w:lang w:val="en-US" w:eastAsia="zh-CN"/>
              </w:rPr>
              <w:t>’</w:t>
            </w:r>
            <w:r>
              <w:rPr>
                <w:rFonts w:hint="eastAsia"/>
                <w:lang w:val="en-US" w:eastAsia="zh-CN"/>
              </w:rPr>
              <w:t xml:space="preserve"> for RRC parameters.</w:t>
            </w:r>
          </w:p>
          <w:p>
            <w:pPr>
              <w:pStyle w:val="91"/>
              <w:spacing w:after="0"/>
              <w:ind w:left="100"/>
              <w:rPr>
                <w:b/>
                <w:u w:val="single"/>
              </w:rPr>
            </w:pPr>
            <w:r>
              <w:rPr>
                <w:b/>
                <w:u w:val="single"/>
              </w:rPr>
              <w:t>Impact Analysis</w:t>
            </w:r>
          </w:p>
          <w:p>
            <w:pPr>
              <w:pStyle w:val="91"/>
              <w:spacing w:after="0"/>
              <w:ind w:left="100"/>
            </w:pPr>
          </w:p>
          <w:p>
            <w:pPr>
              <w:pStyle w:val="91"/>
              <w:spacing w:before="20" w:after="80"/>
              <w:ind w:left="100"/>
            </w:pPr>
            <w:r>
              <w:rPr>
                <w:b/>
                <w:bCs/>
                <w:u w:val="single"/>
              </w:rPr>
              <w:t>Impacted 5G architecture options:</w:t>
            </w:r>
            <w:r>
              <w:t xml:space="preserve"> </w:t>
            </w:r>
          </w:p>
          <w:p>
            <w:pPr>
              <w:pStyle w:val="91"/>
              <w:spacing w:after="0"/>
              <w:ind w:left="100"/>
              <w:rPr>
                <w:rFonts w:hint="default" w:eastAsiaTheme="minorEastAsia"/>
                <w:lang w:val="en-US" w:eastAsia="zh-CN"/>
              </w:rPr>
            </w:pPr>
            <w:r>
              <w:t>Standalone</w:t>
            </w:r>
            <w:r>
              <w:rPr>
                <w:rFonts w:hint="eastAsia"/>
                <w:lang w:val="en-US" w:eastAsia="zh-CN"/>
              </w:rPr>
              <w:t xml:space="preserve"> and Non-standalone</w:t>
            </w:r>
          </w:p>
          <w:p>
            <w:pPr>
              <w:pStyle w:val="91"/>
              <w:spacing w:after="0"/>
              <w:ind w:left="100"/>
            </w:pPr>
          </w:p>
          <w:p>
            <w:pPr>
              <w:pStyle w:val="91"/>
              <w:spacing w:after="0"/>
              <w:ind w:left="100"/>
              <w:rPr>
                <w:u w:val="single"/>
              </w:rPr>
            </w:pPr>
            <w:r>
              <w:rPr>
                <w:u w:val="single"/>
              </w:rPr>
              <w:t>Impacted functionality:</w:t>
            </w:r>
          </w:p>
          <w:p>
            <w:pPr>
              <w:pStyle w:val="91"/>
              <w:spacing w:after="0"/>
              <w:ind w:left="100"/>
              <w:rPr>
                <w:rFonts w:hint="default" w:eastAsia="Times New Roman"/>
                <w:lang w:val="en-US" w:eastAsia="zh-CN"/>
              </w:rPr>
            </w:pPr>
            <w:r>
              <w:rPr>
                <w:rFonts w:hint="eastAsia"/>
                <w:lang w:val="en-US" w:eastAsia="zh-CN"/>
              </w:rPr>
              <w:t>Random access</w:t>
            </w:r>
          </w:p>
          <w:p>
            <w:pPr>
              <w:pStyle w:val="91"/>
              <w:spacing w:after="0"/>
              <w:ind w:left="100"/>
            </w:pPr>
          </w:p>
          <w:p>
            <w:pPr>
              <w:pStyle w:val="91"/>
              <w:spacing w:after="0"/>
              <w:ind w:left="100"/>
              <w:rPr>
                <w:u w:val="single"/>
              </w:rPr>
            </w:pPr>
            <w:r>
              <w:rPr>
                <w:u w:val="single"/>
              </w:rPr>
              <w:t>Inter-operability:</w:t>
            </w:r>
          </w:p>
          <w:p>
            <w:pPr>
              <w:pStyle w:val="91"/>
              <w:spacing w:after="0"/>
              <w:ind w:firstLine="200" w:firstLineChars="100"/>
              <w:rPr>
                <w:rFonts w:hint="default"/>
                <w:lang w:val="en-US" w:eastAsia="zh-CN"/>
              </w:rPr>
            </w:pPr>
            <w:r>
              <w:rPr>
                <w:rFonts w:hint="eastAsia" w:ascii="Arial" w:hAnsi="Arial" w:eastAsia="Times New Roman" w:cs="Times New Roman"/>
                <w:lang w:val="en-US" w:eastAsia="zh-CN" w:bidi="ar-SA"/>
              </w:rPr>
              <w:t>No inter-operability issue found.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pPr>
            <w:r>
              <w:rPr>
                <w:rFonts w:hint="eastAsia"/>
                <w:lang w:val="en-US" w:eastAsia="zh-CN"/>
              </w:rPr>
              <w:t>Specification seems to ask UE to initialize the RRC parameter which is not variable</w:t>
            </w:r>
            <w:r>
              <w:rPr>
                <w:lang w:eastAsia="zh-CN"/>
              </w:rPr>
              <w:t>.</w:t>
            </w:r>
            <w:bookmarkStart w:id="8" w:name="_GoBack"/>
            <w:bookmarkEnd w:id="8"/>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lang w:val="en-US" w:eastAsia="zh-CN"/>
              </w:rPr>
            </w:pPr>
            <w:r>
              <w:rPr>
                <w:rFonts w:hint="eastAsia"/>
                <w:lang w:val="en-US" w:eastAsia="zh-CN"/>
              </w:rPr>
              <w:t>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94"/>
        <w:jc w:val="center"/>
        <w:rPr>
          <w:rFonts w:ascii="Times New Roman" w:hAnsi="Times New Roman" w:eastAsia="Malgun Gothic"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7" w:name="_Toc155999603"/>
      <w:r>
        <w:rPr>
          <w:rFonts w:ascii="Arial" w:hAnsi="Arial" w:eastAsia="Times New Roman" w:cs="Times New Roman"/>
          <w:sz w:val="28"/>
          <w:lang w:val="en-GB" w:eastAsia="ko-KR" w:bidi="ar-SA"/>
        </w:rPr>
        <w:t>5.1.1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Random Access procedure initialization</w:t>
      </w:r>
      <w:bookmarkEnd w:id="7"/>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Pr>
          <w:rFonts w:ascii="Times New Roman" w:hAnsi="Times New Roman" w:eastAsia="Times New Roman" w:cs="Times New Roman"/>
          <w:i/>
          <w:lang w:eastAsia="ko-KR"/>
        </w:rPr>
        <w:t>ra-PreambleIndex</w:t>
      </w:r>
      <w:r>
        <w:rPr>
          <w:rFonts w:ascii="Times New Roman" w:hAnsi="Times New Roman" w:eastAsia="Times New Roman" w:cs="Times New Roman"/>
          <w:lang w:eastAsia="ko-KR"/>
        </w:rPr>
        <w:t xml:space="preserve"> different from 0b000000.</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a new Random Access procedure is triggered while another is already ongoing in the MAC entity, it is up to UE implementation whether to continue with the ongoing procedure or start with the new procedure (e.g. for SI request).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pPr>
        <w:overflowPunct w:val="0"/>
        <w:autoSpaceDE w:val="0"/>
        <w:autoSpaceDN w:val="0"/>
        <w:adjustRightInd w:val="0"/>
        <w:textAlignment w:val="baseline"/>
        <w:rPr>
          <w:rFonts w:ascii="Times New Roman" w:hAnsi="Times New Roman" w:eastAsia="Times New Roman" w:cs="Times New Roman"/>
          <w:lang w:eastAsia="ko-KR"/>
        </w:rPr>
      </w:pPr>
      <w:ins w:id="0" w:author="xiaowei_xiaomi" w:date="2024-02-07T16:03:53Z">
        <w:r>
          <w:rPr>
            <w:lang w:eastAsia="ko-KR"/>
          </w:rPr>
          <w:t>RRC configures the following parameters for the Random Access procedure</w:t>
        </w:r>
      </w:ins>
      <w:del w:id="1" w:author="xiaowei_xiaomi" w:date="2024-02-07T16:03:53Z">
        <w:r>
          <w:rPr>
            <w:rFonts w:ascii="Times New Roman" w:hAnsi="Times New Roman" w:eastAsia="Times New Roman" w:cs="Times New Roman"/>
            <w:lang w:eastAsia="ko-KR"/>
          </w:rPr>
          <w:delTex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delText>
        </w:r>
      </w:del>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prach-ConfigurationIndex</w:t>
      </w:r>
      <w:r>
        <w:rPr>
          <w:rFonts w:ascii="Times New Roman" w:hAnsi="Times New Roman" w:eastAsia="Times New Roman" w:cs="Times New Roman"/>
          <w:lang w:val="en-GB" w:eastAsia="ko-KR" w:bidi="ar-SA"/>
        </w:rPr>
        <w:t>: the available set of PRACH occasions for the transmission of the Random Access Preamble for Msg1. These are also applicable to the MSGA PRACH if the PRACH occasions are shared between 2-step and 4-step RA types;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prach-ConfigurationPeriodScaling-IAB</w:t>
      </w:r>
      <w:r>
        <w:rPr>
          <w:rFonts w:ascii="Times New Roman" w:hAnsi="Times New Roman" w:eastAsia="Times New Roman" w:cs="Times New Roman"/>
          <w:lang w:val="en-GB" w:eastAsia="ko-KR" w:bidi="ar-SA"/>
        </w:rPr>
        <w:t xml:space="preserve">: the scaling factor defined in TS 38.211 [8] and applicable to IAB-MTs, extending the periodicity of the PRACH occasions baseline configuration indicated by </w:t>
      </w:r>
      <w:r>
        <w:rPr>
          <w:rFonts w:ascii="Times New Roman" w:hAnsi="Times New Roman" w:eastAsia="Times New Roman" w:cs="Times New Roman"/>
          <w:i/>
          <w:lang w:val="en-GB" w:eastAsia="ko-KR" w:bidi="ar-SA"/>
        </w:rPr>
        <w:t>prach-ConfigurationIndex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prach-ConfigurationFrameOffset-IAB</w:t>
      </w:r>
      <w:r>
        <w:rPr>
          <w:rFonts w:ascii="Times New Roman" w:hAnsi="Times New Roman" w:eastAsia="Times New Roman" w:cs="Times New Roman"/>
          <w:lang w:val="en-GB" w:eastAsia="ko-KR" w:bidi="ar-SA"/>
        </w:rPr>
        <w:t xml:space="preserve">: the frame offset defined in TS 38.211 [8] and applicable to IAB-MTs, altering the ROs frame defined in the baseline configuration indicated by </w:t>
      </w:r>
      <w:r>
        <w:rPr>
          <w:rFonts w:ascii="Times New Roman" w:hAnsi="Times New Roman" w:eastAsia="Times New Roman" w:cs="Times New Roman"/>
          <w:i/>
          <w:lang w:val="en-GB" w:eastAsia="ko-KR" w:bidi="ar-SA"/>
        </w:rPr>
        <w:t>prach-ConfigurationIndex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prach-ConfigurationSOffset-IAB</w:t>
      </w:r>
      <w:r>
        <w:rPr>
          <w:rFonts w:ascii="Times New Roman" w:hAnsi="Times New Roman" w:eastAsia="Times New Roman" w:cs="Times New Roman"/>
          <w:lang w:val="en-GB" w:eastAsia="ko-KR" w:bidi="ar-SA"/>
        </w:rPr>
        <w:t xml:space="preserve">: the subframe/slot offset defined in TS 38.211 [8] and applicable to IAB-MTs, altering the ROs subframe or slot defined in the baseline configuration indicated by </w:t>
      </w:r>
      <w:r>
        <w:rPr>
          <w:rFonts w:ascii="Times New Roman" w:hAnsi="Times New Roman" w:eastAsia="Times New Roman" w:cs="Times New Roman"/>
          <w:i/>
          <w:lang w:val="en-GB" w:eastAsia="ko-KR" w:bidi="ar-SA"/>
        </w:rPr>
        <w:t>prach-ConfigurationIndex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msgA-PRACH-ConfigurationIndex</w:t>
      </w:r>
      <w:r>
        <w:rPr>
          <w:rFonts w:ascii="Times New Roman" w:hAnsi="Times New Roman" w:eastAsia="Times New Roman" w:cs="Times New Roman"/>
          <w:lang w:val="en-GB" w:eastAsia="ko-KR" w:bidi="ar-SA"/>
        </w:rPr>
        <w:t>: the available set of PRACH occasions for the transmission of the Random Access Preamble for MSGA in 2-step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preambleReceivedTargetPower</w:t>
      </w:r>
      <w:r>
        <w:rPr>
          <w:rFonts w:ascii="Times New Roman" w:hAnsi="Times New Roman" w:eastAsia="Times New Roman" w:cs="Times New Roman"/>
          <w:lang w:val="en-GB" w:eastAsia="ko-KR" w:bidi="ar-SA"/>
        </w:rPr>
        <w:t>: initial Random Access Preamble power for 4-step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等线" w:cs="Times New Roman"/>
          <w:i/>
          <w:iCs/>
          <w:lang w:val="en-GB" w:eastAsia="zh-CN" w:bidi="ar-SA"/>
        </w:rPr>
        <w:t>msgA-PreambleReceivedTargetPower</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ko-KR" w:bidi="ar-SA"/>
        </w:rPr>
        <w:t>initial Random Access Preamble power for 2-step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rsrp-ThresholdSSB</w:t>
      </w:r>
      <w:r>
        <w:rPr>
          <w:rFonts w:ascii="Times New Roman" w:hAnsi="Times New Roman" w:eastAsia="Times New Roman" w:cs="Times New Roman"/>
          <w:lang w:val="en-GB" w:eastAsia="ko-KR" w:bidi="ar-SA"/>
        </w:rPr>
        <w:t xml:space="preserve">: an RSRP threshold for the selection of the SSB for 4-step RA type. If the Random Access procedure is initiated for beam failure recovery, </w:t>
      </w:r>
      <w:r>
        <w:rPr>
          <w:rFonts w:ascii="Times New Roman" w:hAnsi="Times New Roman" w:eastAsia="Times New Roman" w:cs="Times New Roman"/>
          <w:i/>
          <w:lang w:val="en-GB" w:eastAsia="ko-KR" w:bidi="ar-SA"/>
        </w:rPr>
        <w:t>rsrp-ThresholdSSB</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zh-CN" w:bidi="ar-SA"/>
        </w:rPr>
        <w:t xml:space="preserve">used for the selection of the </w:t>
      </w:r>
      <w:r>
        <w:rPr>
          <w:rFonts w:ascii="Times New Roman" w:hAnsi="Times New Roman" w:eastAsia="Times New Roman" w:cs="Times New Roman"/>
          <w:lang w:val="en-GB" w:eastAsia="ko-KR" w:bidi="ar-SA"/>
        </w:rPr>
        <w:t xml:space="preserve">SSB within </w:t>
      </w:r>
      <w:r>
        <w:rPr>
          <w:rFonts w:ascii="Times New Roman" w:hAnsi="Times New Roman" w:eastAsia="Times New Roman" w:cs="Times New Roman"/>
          <w:i/>
          <w:lang w:val="en-GB" w:eastAsia="ko-KR" w:bidi="ar-SA"/>
        </w:rPr>
        <w:t>candidateBeamRSList</w:t>
      </w:r>
      <w:r>
        <w:rPr>
          <w:rFonts w:ascii="Times New Roman" w:hAnsi="Times New Roman" w:eastAsia="Times New Roman" w:cs="Times New Roman"/>
          <w:lang w:val="en-GB" w:eastAsia="ko-KR" w:bidi="ar-SA"/>
        </w:rPr>
        <w:t xml:space="preserve"> refers to </w:t>
      </w:r>
      <w:r>
        <w:rPr>
          <w:rFonts w:ascii="Times New Roman" w:hAnsi="Times New Roman" w:eastAsia="Times New Roman" w:cs="Times New Roman"/>
          <w:i/>
          <w:lang w:val="en-GB" w:eastAsia="ko-KR" w:bidi="ar-SA"/>
        </w:rPr>
        <w:t>rsrp-ThresholdSSB</w:t>
      </w:r>
      <w:r>
        <w:rPr>
          <w:rFonts w:ascii="Times New Roman" w:hAnsi="Times New Roman" w:eastAsia="Times New Roman" w:cs="Times New Roman"/>
          <w:lang w:val="en-GB" w:eastAsia="ko-KR" w:bidi="ar-SA"/>
        </w:rPr>
        <w:t xml:space="preserve"> in </w:t>
      </w:r>
      <w:r>
        <w:rPr>
          <w:rFonts w:ascii="Times New Roman" w:hAnsi="Times New Roman" w:eastAsia="Times New Roman" w:cs="Times New Roman"/>
          <w:i/>
          <w:lang w:val="en-GB" w:eastAsia="ko-KR" w:bidi="ar-SA"/>
        </w:rPr>
        <w:t>BeamFailureRecoveryConfig</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rsrp-ThresholdCSI-RS</w:t>
      </w:r>
      <w:r>
        <w:rPr>
          <w:rFonts w:ascii="Times New Roman" w:hAnsi="Times New Roman" w:eastAsia="Times New Roman" w:cs="Times New Roman"/>
          <w:lang w:val="en-GB" w:eastAsia="ko-KR" w:bidi="ar-SA"/>
        </w:rPr>
        <w:t xml:space="preserve">: an RSRP threshold for the selection of CSI-RS for 4-step RA type. If the Random Access procedure is initiated for beam failure recovery, </w:t>
      </w:r>
      <w:r>
        <w:rPr>
          <w:rFonts w:ascii="Times New Roman" w:hAnsi="Times New Roman" w:eastAsia="Times New Roman" w:cs="Times New Roman"/>
          <w:i/>
          <w:lang w:val="en-GB" w:eastAsia="ko-KR" w:bidi="ar-SA"/>
        </w:rPr>
        <w:t>rsrp-ThresholdCSI-RS</w:t>
      </w:r>
      <w:r>
        <w:rPr>
          <w:rFonts w:ascii="Times New Roman" w:hAnsi="Times New Roman" w:eastAsia="Times New Roman" w:cs="Times New Roman"/>
          <w:lang w:val="en-GB" w:eastAsia="ko-KR" w:bidi="ar-SA"/>
        </w:rPr>
        <w:t xml:space="preserve"> is equal to </w:t>
      </w:r>
      <w:r>
        <w:rPr>
          <w:rFonts w:ascii="Times New Roman" w:hAnsi="Times New Roman" w:eastAsia="Times New Roman" w:cs="Times New Roman"/>
          <w:i/>
          <w:lang w:val="en-GB" w:eastAsia="ko-KR" w:bidi="ar-SA"/>
        </w:rPr>
        <w:t>rsrp-ThresholdSSB</w:t>
      </w:r>
      <w:r>
        <w:rPr>
          <w:rFonts w:ascii="Times New Roman" w:hAnsi="Times New Roman" w:eastAsia="Times New Roman" w:cs="Times New Roman"/>
          <w:lang w:val="en-GB" w:eastAsia="ko-KR" w:bidi="ar-SA"/>
        </w:rPr>
        <w:t xml:space="preserve"> in </w:t>
      </w:r>
      <w:r>
        <w:rPr>
          <w:rFonts w:ascii="Times New Roman" w:hAnsi="Times New Roman" w:eastAsia="Times New Roman" w:cs="Times New Roman"/>
          <w:i/>
          <w:lang w:val="en-GB" w:eastAsia="ko-KR" w:bidi="ar-SA"/>
        </w:rPr>
        <w:t>BeamFailureRecoveryConfig</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msgA-RSRP-ThresholdSSB</w:t>
      </w:r>
      <w:r>
        <w:rPr>
          <w:rFonts w:ascii="Times New Roman" w:hAnsi="Times New Roman" w:eastAsia="Times New Roman" w:cs="Times New Roman"/>
          <w:lang w:val="en-GB" w:eastAsia="ko-KR" w:bidi="ar-SA"/>
        </w:rPr>
        <w:t>: an RSRP threshold for the selection of the SSB for 2-step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rsrp-ThresholdSSB-SUL</w:t>
      </w:r>
      <w:r>
        <w:rPr>
          <w:rFonts w:ascii="Times New Roman" w:hAnsi="Times New Roman" w:eastAsia="Times New Roman" w:cs="Times New Roman"/>
          <w:lang w:val="en-GB" w:eastAsia="ko-KR" w:bidi="ar-SA"/>
        </w:rPr>
        <w:t>: an RSRP threshold for the selection between the NUL carrier and the SUL carrier;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ko-KR" w:bidi="ar-SA"/>
        </w:rPr>
        <w:t>msgA-RSRP-Threshold</w:t>
      </w:r>
      <w:r>
        <w:rPr>
          <w:rFonts w:ascii="Times New Roman" w:hAnsi="Times New Roman" w:eastAsia="Times New Roman" w:cs="Times New Roman"/>
          <w:lang w:val="en-GB" w:eastAsia="ko-KR" w:bidi="ar-SA"/>
        </w:rPr>
        <w:t>: an RSRP threshold for selection between 2-step RA type and 4-step RA type when both 2-step and 4-step RA type Random Access Resources are configured in the UL BWP;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rsrp-ThresholdMsg1-RepetitionNum2</w:t>
      </w:r>
      <w:r>
        <w:rPr>
          <w:rFonts w:ascii="Times New Roman" w:hAnsi="Times New Roman" w:eastAsia="Times New Roman" w:cs="Times New Roman"/>
          <w:lang w:val="en-GB" w:eastAsia="ko-KR" w:bidi="ar-SA"/>
        </w:rPr>
        <w:t>: an RSRP threshold for Msg1 repetition with repetition number 2 (see clause 5.1.1b);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rsrp-ThresholdMsg1-RepetitionNum4</w:t>
      </w:r>
      <w:r>
        <w:rPr>
          <w:rFonts w:ascii="Times New Roman" w:hAnsi="Times New Roman" w:eastAsia="Times New Roman" w:cs="Times New Roman"/>
          <w:lang w:val="en-GB" w:eastAsia="ko-KR" w:bidi="ar-SA"/>
        </w:rPr>
        <w:t>: an RSRP threshold for Msg1 repetition with repetition number 4 (see clause 5.1.1b);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rsrp-ThresholdMsg1-RepetitionNum8</w:t>
      </w:r>
      <w:r>
        <w:rPr>
          <w:rFonts w:ascii="Times New Roman" w:hAnsi="Times New Roman" w:eastAsia="Times New Roman" w:cs="Times New Roman"/>
          <w:lang w:val="en-GB" w:eastAsia="ko-KR" w:bidi="ar-SA"/>
        </w:rPr>
        <w:t>: an RSRP threshold for Msg1 repetition with repetition number 8 (see clause 5.1.1b);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rsrp-ThresholdMsg3</w:t>
      </w:r>
      <w:r>
        <w:rPr>
          <w:rFonts w:ascii="Times New Roman" w:hAnsi="Times New Roman" w:eastAsia="Times New Roman" w:cs="Times New Roman"/>
          <w:lang w:val="en-GB" w:eastAsia="ko-KR" w:bidi="ar-SA"/>
        </w:rPr>
        <w:t>: an RSRP threshold for Msg3 repetition (see clause 5.1.1b);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FeatureCombination</w:t>
      </w: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ko-KR" w:bidi="ar-SA"/>
        </w:rPr>
        <w:t>feature or a combination of features associated with a set of Random Access resources;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i/>
          <w:iCs/>
          <w:lang w:val="en-GB" w:eastAsia="ko-KR" w:bidi="ar-SA"/>
        </w:rPr>
        <w:t>-</w:t>
      </w:r>
      <w:r>
        <w:rPr>
          <w:rFonts w:ascii="Times New Roman" w:hAnsi="Times New Roman" w:eastAsia="Times New Roman" w:cs="Times New Roman"/>
          <w:i/>
          <w:iCs/>
          <w:lang w:val="en-GB" w:eastAsia="ko-KR" w:bidi="ar-SA"/>
        </w:rPr>
        <w:tab/>
      </w:r>
      <w:r>
        <w:rPr>
          <w:rFonts w:ascii="Times New Roman" w:hAnsi="Times New Roman" w:eastAsia="Times New Roman" w:cs="Times New Roman"/>
          <w:i/>
          <w:iCs/>
          <w:lang w:val="en-GB" w:eastAsia="ja-JP" w:bidi="ar-SA"/>
        </w:rPr>
        <w:t>featurePriorities</w:t>
      </w:r>
      <w:r>
        <w:rPr>
          <w:rFonts w:ascii="Times New Roman" w:hAnsi="Times New Roman" w:eastAsia="Times New Roman" w:cs="Times New Roman"/>
          <w:lang w:val="en-GB" w:eastAsia="ko-KR" w:bidi="ar-SA"/>
        </w:rPr>
        <w:t>: p</w:t>
      </w:r>
      <w:r>
        <w:rPr>
          <w:rFonts w:ascii="Times New Roman" w:hAnsi="Times New Roman" w:eastAsia="Times New Roman" w:cs="Times New Roman"/>
          <w:szCs w:val="22"/>
          <w:lang w:val="en-GB" w:eastAsia="ja-JP" w:bidi="ar-SA"/>
        </w:rPr>
        <w:t>riorities for features, such as (e)</w:t>
      </w:r>
      <w:r>
        <w:rPr>
          <w:rFonts w:ascii="Times New Roman" w:hAnsi="Times New Roman" w:eastAsia="Times New Roman" w:cs="Times New Roman"/>
          <w:szCs w:val="22"/>
          <w:lang w:val="en-GB" w:eastAsia="zh-CN" w:bidi="ar-SA"/>
        </w:rPr>
        <w:t>RedCap</w:t>
      </w:r>
      <w:r>
        <w:rPr>
          <w:rFonts w:ascii="Times New Roman" w:hAnsi="Times New Roman" w:eastAsia="Times New Roman" w:cs="Times New Roman"/>
          <w:szCs w:val="22"/>
          <w:lang w:val="en-GB" w:eastAsia="ja-JP" w:bidi="ar-SA"/>
        </w:rPr>
        <w:t>, Slicing, etc. (see clause 5.1.1d)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ja-JP" w:bidi="ar-SA"/>
        </w:rPr>
        <w:t>msgA-TransMax</w:t>
      </w:r>
      <w:r>
        <w:rPr>
          <w:rFonts w:ascii="Times New Roman" w:hAnsi="Times New Roman" w:eastAsia="Times New Roman" w:cs="Times New Roman"/>
          <w:lang w:val="en-GB" w:eastAsia="ja-JP" w:bidi="ar-SA"/>
        </w:rPr>
        <w:t>: The maximum number of MSGA transmissions when both 4-step and 2-step RA type Random Access Resources are configured;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candidateBeamRSList</w:t>
      </w:r>
      <w:r>
        <w:rPr>
          <w:rFonts w:ascii="Times New Roman" w:hAnsi="Times New Roman" w:eastAsia="Times New Roman" w:cs="Times New Roman"/>
          <w:lang w:val="en-GB" w:eastAsia="ko-KR" w:bidi="ar-SA"/>
        </w:rPr>
        <w:t>: a list of reference signals (CSI-RS and/or SSB) identifying the candidate beams for recovery and the associated Random Access parameters;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recoverySearchSpaceId</w:t>
      </w:r>
      <w:r>
        <w:rPr>
          <w:rFonts w:ascii="Times New Roman" w:hAnsi="Times New Roman" w:eastAsia="Times New Roman" w:cs="Times New Roman"/>
          <w:lang w:val="en-GB" w:eastAsia="ko-KR" w:bidi="ar-SA"/>
        </w:rPr>
        <w:t>: the search space identity for monitoring the response of the beam failure recovery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powerRampingStep</w:t>
      </w:r>
      <w:r>
        <w:rPr>
          <w:rFonts w:ascii="Times New Roman" w:hAnsi="Times New Roman" w:eastAsia="Times New Roman" w:cs="Times New Roman"/>
          <w:lang w:val="en-GB" w:eastAsia="ko-KR" w:bidi="ar-SA"/>
        </w:rPr>
        <w:t>: the power-ramping factor;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msgA-PreamblePowerRampingStep</w:t>
      </w:r>
      <w:r>
        <w:rPr>
          <w:rFonts w:ascii="Times New Roman" w:hAnsi="Times New Roman" w:eastAsia="Times New Roman" w:cs="Times New Roman"/>
          <w:iCs/>
          <w:lang w:val="en-GB" w:eastAsia="ko-KR" w:bidi="ar-SA"/>
        </w:rPr>
        <w:t xml:space="preserve">: </w:t>
      </w:r>
      <w:r>
        <w:rPr>
          <w:rFonts w:ascii="Times New Roman" w:hAnsi="Times New Roman" w:eastAsia="Times New Roman" w:cs="Times New Roman"/>
          <w:lang w:val="en-GB" w:eastAsia="ko-KR" w:bidi="ar-SA"/>
        </w:rPr>
        <w:t>the power ramping factor for MSGA preamble;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powerRampingStepHighPriority</w:t>
      </w:r>
      <w:r>
        <w:rPr>
          <w:rFonts w:ascii="Times New Roman" w:hAnsi="Times New Roman" w:eastAsia="Times New Roman" w:cs="Times New Roman"/>
          <w:lang w:val="en-GB" w:eastAsia="ko-KR" w:bidi="ar-SA"/>
        </w:rPr>
        <w:t>: the power-ramping factor in case of prioritized Random Access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scalingFactorBI</w:t>
      </w:r>
      <w:r>
        <w:rPr>
          <w:rFonts w:ascii="Times New Roman" w:hAnsi="Times New Roman" w:eastAsia="Times New Roman" w:cs="Times New Roman"/>
          <w:lang w:val="en-GB" w:eastAsia="ko-KR" w:bidi="ar-SA"/>
        </w:rPr>
        <w:t>: a scaling factor for prioritized Random Access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ra-PreambleIndex</w:t>
      </w:r>
      <w:r>
        <w:rPr>
          <w:rFonts w:ascii="Times New Roman" w:hAnsi="Times New Roman" w:eastAsia="Times New Roman" w:cs="Times New Roman"/>
          <w:lang w:val="en-GB" w:eastAsia="ko-KR" w:bidi="ar-SA"/>
        </w:rPr>
        <w:t>: Random Access Preamble;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ra-ssb-OccasionMaskIndex</w:t>
      </w:r>
      <w:r>
        <w:rPr>
          <w:rFonts w:ascii="Times New Roman" w:hAnsi="Times New Roman" w:eastAsia="Times New Roman" w:cs="Times New Roman"/>
          <w:lang w:val="en-GB" w:eastAsia="ko-KR" w:bidi="ar-SA"/>
        </w:rPr>
        <w:t>: defines PRACH occasion(s) associated with an SSB in which the MAC entity may transmit a Random Access Preamble (see clause 7.4);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ja-JP" w:bidi="ar-SA"/>
        </w:rPr>
        <w:t>msgA-SSB-SharedRO-MaskIndex</w:t>
      </w:r>
      <w:r>
        <w:rPr>
          <w:rFonts w:ascii="Times New Roman" w:hAnsi="Times New Roman" w:eastAsia="Times New Roman" w:cs="Times New Roman"/>
          <w:lang w:val="en-GB" w:eastAsia="ja-JP" w:bidi="ar-SA"/>
        </w:rPr>
        <w:t xml:space="preserve">: Indicates the subset of 4-step RA type PRACH occasions shared with 2-step RA type PRACH occasions for each SSB. If 2-step RA type PRACH occasions are shared with 4-step RA type PRACH occasions and </w:t>
      </w:r>
      <w:r>
        <w:rPr>
          <w:rFonts w:ascii="Times New Roman" w:hAnsi="Times New Roman" w:eastAsia="Times New Roman" w:cs="Times New Roman"/>
          <w:i/>
          <w:iCs/>
          <w:lang w:val="en-GB" w:eastAsia="ja-JP" w:bidi="ar-SA"/>
        </w:rPr>
        <w:t>msgA-SSB-SharedRO-MaskIndex</w:t>
      </w:r>
      <w:r>
        <w:rPr>
          <w:rFonts w:ascii="Times New Roman" w:hAnsi="Times New Roman" w:eastAsia="Times New Roman" w:cs="Times New Roman"/>
          <w:lang w:val="en-GB" w:eastAsia="ja-JP" w:bidi="ar-SA"/>
        </w:rPr>
        <w:t xml:space="preserve"> is not configured, then all 4-step RA type PRACH occasions are available for 2-step RA type (see clause 7.4);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Yu Mincho" w:cs="Times New Roman"/>
          <w:lang w:val="en-GB" w:eastAsia="ko-KR" w:bidi="ar-SA"/>
        </w:rPr>
        <w:t>-</w:t>
      </w:r>
      <w:r>
        <w:rPr>
          <w:rFonts w:ascii="Times New Roman" w:hAnsi="Times New Roman" w:eastAsia="Yu Mincho" w:cs="Times New Roman"/>
          <w:lang w:val="en-GB" w:eastAsia="ko-KR" w:bidi="ar-SA"/>
        </w:rPr>
        <w:tab/>
      </w:r>
      <w:r>
        <w:rPr>
          <w:rFonts w:ascii="Times New Roman" w:hAnsi="Times New Roman" w:eastAsia="Yu Mincho" w:cs="Times New Roman"/>
          <w:i/>
          <w:lang w:val="en-GB" w:eastAsia="en-US" w:bidi="ar-SA"/>
        </w:rPr>
        <w:t>ssb-SharedRO-MaskIndex</w:t>
      </w:r>
      <w:r>
        <w:rPr>
          <w:rFonts w:ascii="Times New Roman" w:hAnsi="Times New Roman" w:eastAsia="Yu Mincho" w:cs="Times New Roman"/>
          <w:lang w:val="en-GB" w:eastAsia="en-US" w:bidi="ar-SA"/>
        </w:rPr>
        <w:t xml:space="preserve">: </w:t>
      </w:r>
      <w:r>
        <w:rPr>
          <w:rFonts w:ascii="Times New Roman" w:hAnsi="Times New Roman" w:eastAsia="Yu Mincho" w:cs="Times New Roman"/>
          <w:lang w:val="en-GB" w:eastAsia="ko-KR" w:bidi="ar-SA"/>
        </w:rPr>
        <w:t>defines PRACH occasions, on which</w:t>
      </w:r>
      <w:r>
        <w:rPr>
          <w:rFonts w:ascii="Times New Roman" w:hAnsi="Times New Roman" w:eastAsia="Yu Mincho" w:cs="Times New Roman"/>
          <w:szCs w:val="22"/>
          <w:lang w:val="en-GB" w:eastAsia="sv-SE" w:bidi="ar-SA"/>
        </w:rPr>
        <w:t xml:space="preserve"> preambles are allocated for a </w:t>
      </w:r>
      <w:r>
        <w:rPr>
          <w:rFonts w:ascii="Times New Roman" w:hAnsi="Times New Roman" w:eastAsia="Yu Mincho" w:cs="Times New Roman"/>
          <w:lang w:val="en-GB" w:eastAsia="ko-KR" w:bidi="ar-SA"/>
        </w:rPr>
        <w:t>feature or a combination of features, associated with an SSB in which the MAC entity may transmit a Random Access Preamble (see clause 7.4);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ra-OccasionList</w:t>
      </w:r>
      <w:r>
        <w:rPr>
          <w:rFonts w:ascii="Times New Roman" w:hAnsi="Times New Roman" w:eastAsia="Times New Roman" w:cs="Times New Roman"/>
          <w:lang w:val="en-GB" w:eastAsia="ko-KR" w:bidi="ar-SA"/>
        </w:rPr>
        <w:t>: defines PRACH occasion(s) associated with a CSI-RS in which the MAC entity may transmit a Random Access Preamble;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ra-PreambleStartIndex</w:t>
      </w:r>
      <w:r>
        <w:rPr>
          <w:rFonts w:ascii="Times New Roman" w:hAnsi="Times New Roman" w:eastAsia="Times New Roman" w:cs="Times New Roman"/>
          <w:lang w:val="en-GB" w:eastAsia="ko-KR" w:bidi="ar-SA"/>
        </w:rPr>
        <w:t>: the starting index of Random Access Preamble(s) for on-demand SI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startPreambleForThisPartition</w:t>
      </w:r>
      <w:r>
        <w:rPr>
          <w:rFonts w:ascii="Times New Roman" w:hAnsi="Times New Roman" w:eastAsia="Times New Roman" w:cs="Times New Roman"/>
          <w:lang w:val="en-GB" w:eastAsia="ko-KR" w:bidi="ar-SA"/>
        </w:rPr>
        <w:t xml:space="preserve">: the </w:t>
      </w:r>
      <w:r>
        <w:rPr>
          <w:rFonts w:ascii="Times New Roman" w:hAnsi="Times New Roman" w:eastAsia="Times New Roman" w:cs="Times New Roman"/>
          <w:bCs/>
          <w:iCs/>
          <w:szCs w:val="22"/>
          <w:lang w:val="en-GB" w:eastAsia="sv-SE" w:bidi="ar-SA"/>
        </w:rPr>
        <w:t>first preamble associated with the set of Random Access Resources applicable to the Random Access procedure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preambleTransMax</w:t>
      </w:r>
      <w:r>
        <w:rPr>
          <w:rFonts w:ascii="Times New Roman" w:hAnsi="Times New Roman" w:eastAsia="Times New Roman" w:cs="Times New Roman"/>
          <w:lang w:val="en-GB" w:eastAsia="ko-KR" w:bidi="ar-SA"/>
        </w:rPr>
        <w:t>: the maximum number of Random Access Preamble transmission;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preambleTransMax-Msg1-Repetition</w:t>
      </w:r>
      <w:r>
        <w:rPr>
          <w:rFonts w:ascii="Times New Roman" w:hAnsi="Times New Roman" w:eastAsia="Times New Roman" w:cs="Times New Roman"/>
          <w:lang w:val="en-GB" w:eastAsia="ko-KR" w:bidi="ar-SA"/>
        </w:rPr>
        <w:t>: the maximum number of Random Access Preamble transmissions with a given Msg1 repetition number before switching to Msg1 repetition with the next available higher Msg1 repetition number;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ssb-perRACH-OccasionAndCB-PreamblesPerSSB</w:t>
      </w:r>
      <w:r>
        <w:rPr>
          <w:rFonts w:ascii="Times New Roman" w:hAnsi="Times New Roman" w:eastAsia="Times New Roman" w:cs="Times New Roman"/>
          <w:lang w:val="en-GB" w:eastAsia="ko-KR" w:bidi="ar-SA"/>
        </w:rPr>
        <w:t>: defines the number of SSBs mapped to each PRACH occasion for 4-step RA type and the number of contention-based Random Access Preambles mapped to each SSB;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ja-JP" w:bidi="ar-SA"/>
        </w:rPr>
        <w:t>msgA-CB-PreamblesPerSSB-PerSharedRO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ko-KR" w:bidi="ar-SA"/>
        </w:rPr>
        <w:t>defines the number of contention-based Random Access Preambles</w:t>
      </w:r>
      <w:r>
        <w:rPr>
          <w:rFonts w:ascii="Times New Roman" w:hAnsi="Times New Roman" w:eastAsia="Times New Roman" w:cs="Times New Roman"/>
          <w:lang w:val="en-GB" w:eastAsia="ja-JP" w:bidi="ar-SA"/>
        </w:rPr>
        <w:t xml:space="preserve"> for 2-step RA type</w:t>
      </w:r>
      <w:r>
        <w:rPr>
          <w:rFonts w:ascii="Times New Roman" w:hAnsi="Times New Roman" w:eastAsia="Times New Roman" w:cs="Times New Roman"/>
          <w:lang w:val="en-GB" w:eastAsia="ko-KR" w:bidi="ar-SA"/>
        </w:rPr>
        <w:t xml:space="preserve"> mapped to each SSB when the PRACH occasions are shared between 2-step and 4-step RA types;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w:t>
      </w:r>
      <w:r>
        <w:rPr>
          <w:rFonts w:ascii="Times New Roman" w:hAnsi="Times New Roman" w:eastAsia="Times New Roman" w:cs="Times New Roman"/>
          <w:i/>
          <w:szCs w:val="22"/>
          <w:lang w:val="en-GB" w:eastAsia="ja-JP" w:bidi="ar-SA"/>
        </w:rPr>
        <w:t>SSB-PerRACH-OccasionAndCB-PreamblesPerSSB</w:t>
      </w:r>
      <w:r>
        <w:rPr>
          <w:rFonts w:ascii="Times New Roman" w:hAnsi="Times New Roman" w:eastAsia="Times New Roman" w:cs="Times New Roman"/>
          <w:lang w:val="en-GB" w:eastAsia="ko-KR" w:bidi="ar-SA"/>
        </w:rPr>
        <w:t xml:space="preserve">: defines </w:t>
      </w:r>
      <w:r>
        <w:rPr>
          <w:rFonts w:ascii="Times New Roman" w:hAnsi="Times New Roman" w:eastAsia="Times New Roman" w:cs="Times New Roman"/>
          <w:lang w:val="en-GB" w:eastAsia="ja-JP" w:bidi="ar-SA"/>
        </w:rPr>
        <w:t>the number of SSBs mapped to each PRACH occasion for 2-step RA type and the number of contention-based Random Access Preambles mapped to each SSB;</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Yu Mincho" w:cs="Times New Roman"/>
          <w:lang w:val="en-GB" w:eastAsia="ko-KR" w:bidi="ar-SA"/>
        </w:rPr>
        <w:t>-</w:t>
      </w:r>
      <w:r>
        <w:rPr>
          <w:rFonts w:ascii="Times New Roman" w:hAnsi="Times New Roman" w:eastAsia="Yu Mincho" w:cs="Times New Roman"/>
          <w:lang w:val="en-GB" w:eastAsia="ko-KR" w:bidi="ar-SA"/>
        </w:rPr>
        <w:tab/>
      </w:r>
      <w:r>
        <w:rPr>
          <w:rFonts w:ascii="Times New Roman" w:hAnsi="Times New Roman" w:eastAsia="Yu Mincho" w:cs="Times New Roman"/>
          <w:i/>
          <w:lang w:val="en-GB" w:eastAsia="en-US" w:bidi="ar-SA"/>
        </w:rPr>
        <w:t>numberOfPreamblesPerSSB-ForThisPartition</w:t>
      </w:r>
      <w:r>
        <w:rPr>
          <w:rFonts w:ascii="Times New Roman" w:hAnsi="Times New Roman" w:eastAsia="Yu Mincho" w:cs="Times New Roman"/>
          <w:lang w:val="en-GB" w:eastAsia="en-US" w:bidi="ar-SA"/>
        </w:rPr>
        <w:t>:</w:t>
      </w:r>
      <w:r>
        <w:rPr>
          <w:rFonts w:ascii="Times New Roman" w:hAnsi="Times New Roman" w:eastAsia="Yu Mincho" w:cs="Times New Roman"/>
          <w:lang w:val="en-GB" w:eastAsia="ko-KR" w:bidi="ar-SA"/>
        </w:rPr>
        <w:t xml:space="preserve"> defines the number of</w:t>
      </w:r>
      <w:r>
        <w:rPr>
          <w:rFonts w:ascii="Times New Roman" w:hAnsi="Times New Roman" w:eastAsia="Yu Mincho" w:cs="Times New Roman"/>
          <w:i/>
          <w:lang w:val="en-GB" w:eastAsia="en-US" w:bidi="ar-SA"/>
        </w:rPr>
        <w:t xml:space="preserve"> </w:t>
      </w:r>
      <w:r>
        <w:rPr>
          <w:rFonts w:ascii="Times New Roman" w:hAnsi="Times New Roman" w:eastAsia="Yu Mincho" w:cs="Times New Roman"/>
          <w:bCs/>
          <w:iCs/>
          <w:szCs w:val="22"/>
          <w:lang w:val="en-GB" w:eastAsia="sv-SE" w:bidi="ar-SA"/>
        </w:rPr>
        <w:t xml:space="preserve">consecutive preambles for </w:t>
      </w:r>
      <w:r>
        <w:rPr>
          <w:rFonts w:ascii="Times New Roman" w:hAnsi="Times New Roman" w:eastAsia="Yu Mincho" w:cs="Times New Roman"/>
          <w:szCs w:val="22"/>
          <w:lang w:val="en-GB" w:eastAsia="sv-SE" w:bidi="ar-SA"/>
        </w:rPr>
        <w:t xml:space="preserve">a </w:t>
      </w:r>
      <w:r>
        <w:rPr>
          <w:rFonts w:ascii="Times New Roman" w:hAnsi="Times New Roman" w:eastAsia="Yu Mincho" w:cs="Times New Roman"/>
          <w:lang w:val="en-GB" w:eastAsia="ko-KR" w:bidi="ar-SA"/>
        </w:rPr>
        <w:t>feature or a combination of features</w:t>
      </w:r>
      <w:r>
        <w:rPr>
          <w:rFonts w:ascii="Times New Roman" w:hAnsi="Times New Roman" w:eastAsia="Yu Mincho" w:cs="Times New Roman"/>
          <w:bCs/>
          <w:iCs/>
          <w:szCs w:val="22"/>
          <w:lang w:val="en-GB" w:eastAsia="sv-SE" w:bidi="ar-SA"/>
        </w:rPr>
        <w:t xml:space="preserve"> </w:t>
      </w:r>
      <w:r>
        <w:rPr>
          <w:rFonts w:ascii="Times New Roman" w:hAnsi="Times New Roman" w:eastAsia="Yu Mincho" w:cs="Times New Roman"/>
          <w:lang w:val="en-GB" w:eastAsia="en-US" w:bidi="ar-SA"/>
        </w:rPr>
        <w:t>mapped to each SSB;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msgA-PUSCH-ResourceGroupA</w:t>
      </w:r>
      <w:r>
        <w:rPr>
          <w:rFonts w:ascii="Times New Roman" w:hAnsi="Times New Roman" w:eastAsia="Times New Roman" w:cs="Times New Roman"/>
          <w:lang w:val="en-GB" w:eastAsia="ko-KR" w:bidi="ar-SA"/>
        </w:rPr>
        <w:t xml:space="preserve">: defines </w:t>
      </w:r>
      <w:r>
        <w:rPr>
          <w:rFonts w:ascii="Times New Roman" w:hAnsi="Times New Roman" w:eastAsia="Times New Roman" w:cs="Times New Roman"/>
          <w:szCs w:val="22"/>
          <w:lang w:val="en-GB" w:eastAsia="ja-JP" w:bidi="ar-SA"/>
        </w:rPr>
        <w:t>MSGA PUSCH resources that the UE shall use when performing MSGA transmission using Random Access Preambles group 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msgA-PUSCH-ResourceGroupB</w:t>
      </w:r>
      <w:r>
        <w:rPr>
          <w:rFonts w:ascii="Times New Roman" w:hAnsi="Times New Roman" w:eastAsia="Times New Roman" w:cs="Times New Roman"/>
          <w:lang w:val="en-GB" w:eastAsia="ko-KR" w:bidi="ar-SA"/>
        </w:rPr>
        <w:t xml:space="preserve">: defines </w:t>
      </w:r>
      <w:r>
        <w:rPr>
          <w:rFonts w:ascii="Times New Roman" w:hAnsi="Times New Roman" w:eastAsia="Times New Roman" w:cs="Times New Roman"/>
          <w:szCs w:val="22"/>
          <w:lang w:val="en-GB" w:eastAsia="ja-JP" w:bidi="ar-SA"/>
        </w:rPr>
        <w:t>MSGA PUSCH resources that the UE shall use when performing MSGA transmission using Random Access Preambles group B</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msgA-PUSCH-Resource-Index</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szCs w:val="22"/>
          <w:lang w:val="en-GB" w:eastAsia="ja-JP" w:bidi="ar-SA"/>
        </w:rPr>
        <w:t>identifies the index of the PUSCH resource used for MSGA in case of contention-free Random Access with 2-step RA type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lang w:val="en-GB" w:eastAsia="ko-KR" w:bidi="ar-SA"/>
        </w:rPr>
        <w:t>groupBconfigured</w:t>
      </w:r>
      <w:r>
        <w:rPr>
          <w:rFonts w:ascii="Times New Roman" w:hAnsi="Times New Roman" w:eastAsia="Times New Roman" w:cs="Times New Roman"/>
          <w:lang w:val="en-GB" w:eastAsia="ko-KR" w:bidi="ar-SA"/>
        </w:rPr>
        <w:t xml:space="preserve"> is configured, then Random Access Preambles group B is configured for 4-step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GB" w:eastAsia="zh-CN" w:bidi="ar-SA"/>
        </w:rPr>
        <w:t xml:space="preserve">Amongst the contention-based Random Access Preambles associated with an SSB (as defined in TS 38.213 [6]), the first </w:t>
      </w:r>
      <w:r>
        <w:rPr>
          <w:rFonts w:ascii="Times New Roman" w:hAnsi="Times New Roman" w:eastAsia="宋体" w:cs="Times New Roman"/>
          <w:i/>
          <w:iCs/>
          <w:lang w:val="en-GB" w:eastAsia="zh-CN" w:bidi="ar-SA"/>
        </w:rPr>
        <w:t>numberOfRA-PreamblesGroupA</w:t>
      </w:r>
      <w:r>
        <w:rPr>
          <w:rFonts w:ascii="Times New Roman" w:hAnsi="Times New Roman" w:eastAsia="宋体" w:cs="Times New Roman"/>
          <w:iCs/>
          <w:lang w:val="en-GB" w:eastAsia="zh-CN" w:bidi="ar-SA"/>
        </w:rPr>
        <w:t xml:space="preserve"> included in </w:t>
      </w:r>
      <w:r>
        <w:rPr>
          <w:rFonts w:ascii="Times New Roman" w:hAnsi="Times New Roman" w:eastAsia="Times New Roman" w:cs="Times New Roman"/>
          <w:i/>
          <w:lang w:val="en-GB" w:eastAsia="ko-KR" w:bidi="ar-SA"/>
        </w:rPr>
        <w:t>groupBconfigured</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Random Access Preambles</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belong to Random Access Preambles group A. The remaining Random Access Preambles associated with the SSB belong to Random Access Preambles group B (if configured).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w:t>
      </w:r>
      <w:r>
        <w:rPr>
          <w:rFonts w:ascii="Times New Roman" w:hAnsi="Times New Roman" w:eastAsia="Times New Roman" w:cs="Times New Roman"/>
          <w:i/>
          <w:iCs/>
          <w:lang w:val="en-GB" w:eastAsia="ja-JP" w:bidi="ar-SA"/>
        </w:rPr>
        <w:t>groupB-ConfiguredTwoStepRA</w:t>
      </w:r>
      <w:r>
        <w:rPr>
          <w:rFonts w:ascii="Times New Roman" w:hAnsi="Times New Roman" w:eastAsia="Times New Roman" w:cs="Times New Roman"/>
          <w:iCs/>
          <w:lang w:val="en-GB" w:eastAsia="ko-KR" w:bidi="ar-SA"/>
        </w:rPr>
        <w:t xml:space="preserve"> </w:t>
      </w:r>
      <w:r>
        <w:rPr>
          <w:rFonts w:ascii="Times New Roman" w:hAnsi="Times New Roman" w:eastAsia="Times New Roman" w:cs="Times New Roman"/>
          <w:lang w:val="en-GB" w:eastAsia="ko-KR" w:bidi="ar-SA"/>
        </w:rPr>
        <w:t>is configured, then Random Access Preambles group B is configured for 2-step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Amongst the contention-based Random Access Preambles for 2-step RA type associated with an SSB (as defined in TS 38.213 [6]), the first </w:t>
      </w:r>
      <w:r>
        <w:rPr>
          <w:rFonts w:ascii="Times New Roman" w:hAnsi="Times New Roman" w:eastAsia="Times New Roman" w:cs="Times New Roman"/>
          <w:i/>
          <w:iCs/>
          <w:lang w:val="en-GB" w:eastAsia="ko-KR" w:bidi="ar-SA"/>
        </w:rPr>
        <w:t>numberOfRA-PreamblesGroupA</w:t>
      </w:r>
      <w:r>
        <w:rPr>
          <w:rFonts w:ascii="Times New Roman" w:hAnsi="Times New Roman" w:eastAsia="宋体" w:cs="Times New Roman"/>
          <w:iCs/>
          <w:lang w:val="en-GB" w:eastAsia="zh-CN" w:bidi="ar-SA"/>
        </w:rPr>
        <w:t xml:space="preserve"> included in </w:t>
      </w:r>
      <w:r>
        <w:rPr>
          <w:rFonts w:ascii="Times New Roman" w:hAnsi="Times New Roman" w:eastAsia="Times New Roman" w:cs="Times New Roman"/>
          <w:i/>
          <w:iCs/>
          <w:lang w:val="en-GB" w:eastAsia="ja-JP" w:bidi="ar-SA"/>
        </w:rPr>
        <w:t>GroupB-ConfiguredTwoStepRA</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Random Access Preambles</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belong to Random Access Preambles group A. The remaining Random Access Preambles associated with the SSB belong to Random Access Preambles group B (if configured).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Random Access Preambles group B is supported by the cell Random Access Preambles group B is included for each SSB.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Random Access Preambles group B is configured for 4-step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ra-Msg3SizeGroupA</w:t>
      </w:r>
      <w:r>
        <w:rPr>
          <w:rFonts w:ascii="Times New Roman" w:hAnsi="Times New Roman" w:eastAsia="Times New Roman" w:cs="Times New Roman"/>
          <w:lang w:val="en-GB" w:eastAsia="ko-KR" w:bidi="ar-SA"/>
        </w:rPr>
        <w:t>: the threshold to determine the groups of Random Access Preambles for 4-step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msg3-DeltaPreamble</w:t>
      </w:r>
      <w:r>
        <w:rPr>
          <w:rFonts w:ascii="Times New Roman" w:hAnsi="Times New Roman" w:eastAsia="Times New Roman" w:cs="Times New Roman"/>
          <w:lang w:val="en-GB" w:eastAsia="ko-KR" w:bidi="ar-SA"/>
        </w:rPr>
        <w:t>: ∆</w:t>
      </w:r>
      <w:r>
        <w:rPr>
          <w:rFonts w:ascii="Times New Roman" w:hAnsi="Times New Roman" w:eastAsia="Times New Roman" w:cs="Times New Roman"/>
          <w:i/>
          <w:vertAlign w:val="subscript"/>
          <w:lang w:val="en-GB" w:eastAsia="ko-KR" w:bidi="ar-SA"/>
        </w:rPr>
        <w:t>PREAMBLE_Msg3</w:t>
      </w:r>
      <w:r>
        <w:rPr>
          <w:rFonts w:ascii="Times New Roman" w:hAnsi="Times New Roman" w:eastAsia="Times New Roman" w:cs="Times New Roman"/>
          <w:lang w:val="en-GB" w:eastAsia="ko-KR" w:bidi="ar-SA"/>
        </w:rPr>
        <w:t xml:space="preserve"> in TS 38.213 [6];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messagePowerOffsetGroupB</w:t>
      </w:r>
      <w:r>
        <w:rPr>
          <w:rFonts w:ascii="Times New Roman" w:hAnsi="Times New Roman" w:eastAsia="Times New Roman" w:cs="Times New Roman"/>
          <w:lang w:val="en-GB" w:eastAsia="ko-KR" w:bidi="ar-SA"/>
        </w:rPr>
        <w:t>: the power offset for preamble selection</w:t>
      </w:r>
      <w:r>
        <w:rPr>
          <w:rFonts w:ascii="Times New Roman" w:hAnsi="Times New Roman" w:eastAsia="宋体" w:cs="Times New Roman"/>
          <w:iCs/>
          <w:lang w:val="en-GB" w:eastAsia="zh-CN" w:bidi="ar-SA"/>
        </w:rPr>
        <w:t xml:space="preserve"> included in </w:t>
      </w:r>
      <w:r>
        <w:rPr>
          <w:rFonts w:ascii="Times New Roman" w:hAnsi="Times New Roman" w:eastAsia="Times New Roman" w:cs="Times New Roman"/>
          <w:i/>
          <w:lang w:val="en-GB" w:eastAsia="ko-KR" w:bidi="ar-SA"/>
        </w:rPr>
        <w:t>groupBconfigured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numberOfRA-PreamblesGroupA</w:t>
      </w:r>
      <w:r>
        <w:rPr>
          <w:rFonts w:ascii="Times New Roman" w:hAnsi="Times New Roman" w:eastAsia="Times New Roman" w:cs="Times New Roman"/>
          <w:lang w:val="en-GB" w:eastAsia="ko-KR" w:bidi="ar-SA"/>
        </w:rPr>
        <w:t>: defines the number of Random Access Preambles in Random Access Preamble group A for each SSB</w:t>
      </w:r>
      <w:r>
        <w:rPr>
          <w:rFonts w:ascii="Times New Roman" w:hAnsi="Times New Roman" w:eastAsia="宋体" w:cs="Times New Roman"/>
          <w:iCs/>
          <w:lang w:val="en-GB" w:eastAsia="zh-CN" w:bidi="ar-SA"/>
        </w:rPr>
        <w:t xml:space="preserve"> included in </w:t>
      </w:r>
      <w:r>
        <w:rPr>
          <w:rFonts w:ascii="Times New Roman" w:hAnsi="Times New Roman" w:eastAsia="Times New Roman" w:cs="Times New Roman"/>
          <w:i/>
          <w:lang w:val="en-GB" w:eastAsia="ko-KR" w:bidi="ar-SA"/>
        </w:rPr>
        <w:t>groupBconfigured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Random Access Preambles group B is configured for 2-step RA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msgA-DeltaPreamble</w:t>
      </w:r>
      <w:r>
        <w:rPr>
          <w:rFonts w:ascii="Times New Roman" w:hAnsi="Times New Roman" w:eastAsia="Times New Roman" w:cs="Times New Roman"/>
          <w:lang w:val="en-GB" w:eastAsia="ko-KR" w:bidi="ar-SA"/>
        </w:rPr>
        <w:t>: ∆</w:t>
      </w:r>
      <w:r>
        <w:rPr>
          <w:rFonts w:ascii="Times New Roman" w:hAnsi="Times New Roman" w:eastAsia="Times New Roman" w:cs="Times New Roman"/>
          <w:i/>
          <w:vertAlign w:val="subscript"/>
          <w:lang w:val="en-GB" w:eastAsia="ko-KR" w:bidi="ar-SA"/>
        </w:rPr>
        <w:t>MsgA_PUSCH</w:t>
      </w:r>
      <w:r>
        <w:rPr>
          <w:rFonts w:ascii="Times New Roman" w:hAnsi="Times New Roman" w:eastAsia="Times New Roman" w:cs="Times New Roman"/>
          <w:lang w:val="en-GB" w:eastAsia="ko-KR" w:bidi="ar-SA"/>
        </w:rPr>
        <w:t xml:space="preserve"> in TS 38.213 [6];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messagePowerOffsetGroupB</w:t>
      </w:r>
      <w:r>
        <w:rPr>
          <w:rFonts w:ascii="Times New Roman" w:hAnsi="Times New Roman" w:eastAsia="Times New Roman" w:cs="Times New Roman"/>
          <w:lang w:val="en-GB" w:eastAsia="ko-KR" w:bidi="ar-SA"/>
        </w:rPr>
        <w:t>: the power offset for preamble selection</w:t>
      </w:r>
      <w:r>
        <w:rPr>
          <w:rFonts w:ascii="Times New Roman" w:hAnsi="Times New Roman" w:eastAsia="Times New Roman" w:cs="Times New Roman"/>
          <w:iCs/>
          <w:lang w:val="en-GB" w:eastAsia="ja-JP" w:bidi="ar-SA"/>
        </w:rPr>
        <w:t xml:space="preserve"> </w:t>
      </w:r>
      <w:r>
        <w:rPr>
          <w:rFonts w:ascii="Times New Roman" w:hAnsi="Times New Roman" w:eastAsia="Times New Roman" w:cs="Times New Roman"/>
          <w:lang w:val="en-GB" w:eastAsia="ja-JP" w:bidi="ar-SA"/>
        </w:rPr>
        <w:t xml:space="preserve">included in </w:t>
      </w:r>
      <w:r>
        <w:rPr>
          <w:rFonts w:ascii="Times New Roman" w:hAnsi="Times New Roman" w:eastAsia="Times New Roman" w:cs="Times New Roman"/>
          <w:i/>
          <w:iCs/>
          <w:lang w:val="en-GB" w:eastAsia="ja-JP" w:bidi="ar-SA"/>
        </w:rPr>
        <w:t>GroupB-ConfiguredTwoStepRA</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numberOfRA-PreamblesGroupA</w:t>
      </w:r>
      <w:r>
        <w:rPr>
          <w:rFonts w:ascii="Times New Roman" w:hAnsi="Times New Roman" w:eastAsia="Times New Roman" w:cs="Times New Roman"/>
          <w:lang w:val="en-GB" w:eastAsia="ko-KR" w:bidi="ar-SA"/>
        </w:rPr>
        <w:t xml:space="preserve">: defines the number of Random Access Preambles in Random Access Preamble group A for each SSB included in </w:t>
      </w:r>
      <w:r>
        <w:rPr>
          <w:rFonts w:ascii="Times New Roman" w:hAnsi="Times New Roman" w:eastAsia="Times New Roman" w:cs="Times New Roman"/>
          <w:i/>
          <w:iCs/>
          <w:lang w:val="en-GB" w:eastAsia="ja-JP" w:bidi="ar-SA"/>
        </w:rPr>
        <w:t>GroupB-ConfiguredTwoStepRA</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ra-MsgA-SizeGroupA</w:t>
      </w:r>
      <w:r>
        <w:rPr>
          <w:rFonts w:ascii="Times New Roman" w:hAnsi="Times New Roman" w:eastAsia="Times New Roman" w:cs="Times New Roman"/>
          <w:lang w:val="en-GB" w:eastAsia="ko-KR" w:bidi="ar-SA"/>
        </w:rPr>
        <w:t>: the threshold to determine the groups of Random Access Preambles for 2-step RA type.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set of Random Access Preambles and/or PRACH occasions for SI request,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set of Random Access Preambles and/or PRACH occasions for beam failure recovery request,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set of Random Access Preambles and/or PRACH occasions for reconfiguration with sync,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ra-ResponseWindow</w:t>
      </w:r>
      <w:r>
        <w:rPr>
          <w:rFonts w:ascii="Times New Roman" w:hAnsi="Times New Roman" w:eastAsia="Times New Roman" w:cs="Times New Roman"/>
          <w:lang w:val="en-GB" w:eastAsia="ko-KR" w:bidi="ar-SA"/>
        </w:rPr>
        <w:t>: the time window to monitor RA response(s) (SpCell only);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ra-ContentionResolutionTimer</w:t>
      </w:r>
      <w:r>
        <w:rPr>
          <w:rFonts w:ascii="Times New Roman" w:hAnsi="Times New Roman" w:eastAsia="Times New Roman" w:cs="Times New Roman"/>
          <w:lang w:val="en-GB" w:eastAsia="ko-KR" w:bidi="ar-SA"/>
        </w:rPr>
        <w:t>: the Contention Resolution Timer (SpCell only);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ko-KR" w:bidi="ar-SA"/>
        </w:rPr>
        <w:t>msgB-ResponseWindow</w:t>
      </w:r>
      <w:r>
        <w:rPr>
          <w:rFonts w:ascii="Times New Roman" w:hAnsi="Times New Roman" w:eastAsia="Times New Roman" w:cs="Times New Roman"/>
          <w:lang w:val="en-GB" w:eastAsia="ko-KR" w:bidi="ar-SA"/>
        </w:rPr>
        <w:t>: the time window to monitor RA response(s) for 2-step RA type (SpCell only).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In addition, the following information for related Serving Cell is assumed to be available for UEs: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Random Access Preambles group B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Serving Cell for the Random Access procedure is configured with supplementary uplink as specified in TS 38.331 [5], and SUL carrier is selected for performing Random Access Procedure: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SUL carrier as specified in TS 38.101-1 [14], TS 38.101-2 [15], and TS 38.101-3 [16].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NUL carrier as specified in TS 38.101-1 [14], TS 38.101-2 [15], and TS 38.101-3 [16].</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following UE variables are used for the Random Access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PREAMBLE_INDEX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PREAMBLE_TRANSMISSION_COUNTER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PREAMBLE_POWER_RAMPING_COUNTER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PREAMBLE_POWER_RAMPING_STEP</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PREAMBLE_RECEIVED_TARGET_POWER</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PREAMBLE_BACKOFF</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PCMAX</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SCALING_FACTOR_BI</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TEMPORARY_C-RNTI</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RA_TYPE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iCs/>
          <w:lang w:val="en-GB" w:eastAsia="ja-JP" w:bidi="ar-SA"/>
        </w:rPr>
        <w:t>POWER_OFFSET_2STEP_RA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i/>
          <w:iCs/>
          <w:lang w:val="en-GB" w:eastAsia="ja-JP" w:bidi="ar-SA"/>
        </w:rPr>
        <w:t>MSGA_</w:t>
      </w:r>
      <w:r>
        <w:rPr>
          <w:rFonts w:ascii="Times New Roman" w:hAnsi="Times New Roman" w:eastAsia="Times New Roman" w:cs="Times New Roman"/>
          <w:i/>
          <w:lang w:val="en-GB" w:eastAsia="ja-JP" w:bidi="ar-SA"/>
        </w:rPr>
        <w:t>PREAMBLE_POWER_RAMPING_STEP</w:t>
      </w:r>
      <w:r>
        <w:rPr>
          <w:rFonts w:ascii="Times New Roman" w:hAnsi="Times New Roman" w:eastAsia="Times New Roman" w:cs="Times New Roman"/>
          <w:lang w:val="en-GB" w:eastAsia="ja-JP" w:bidi="ar-SA"/>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Random Access procedure is initiated on a Serving Cell or to an LTM candidate cell, the MAC entity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flush the Msg3 buffer;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flush the MSGA buffer;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PREAMBLE_TRANSMISSION_COUNTER</w:t>
      </w:r>
      <w:r>
        <w:rPr>
          <w:rFonts w:ascii="Times New Roman" w:hAnsi="Times New Roman" w:eastAsia="Times New Roman" w:cs="Times New Roman"/>
          <w:lang w:val="en-GB" w:eastAsia="ko-KR" w:bidi="ar-SA"/>
        </w:rPr>
        <w:t xml:space="preserve"> to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Random Access procedure is initiated on a Serving Cell;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Random Access procedure is initiated by the PDCCH order to an LTM candidate cell and the PDCCH order indicates preamble initial transmission;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Random Access procedure is initiated by the PDCCH order to an LTM candidate cell, which is different from the LTM candidate cell to perform the last Random Access Preamble transmission initiated by the PDCCH order to an LTM candidate cell, and the PDCCH order indicates preamble re-transmission: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iCs/>
          <w:lang w:val="en-GB" w:eastAsia="ko-KR" w:bidi="ar-SA"/>
        </w:rPr>
        <w:t>PREAMBLE_POWER_RAMPING_COUNTER</w:t>
      </w:r>
      <w:r>
        <w:rPr>
          <w:rFonts w:ascii="Times New Roman" w:hAnsi="Times New Roman" w:eastAsia="Times New Roman" w:cs="Times New Roman"/>
          <w:lang w:val="en-GB" w:eastAsia="ko-KR" w:bidi="ar-SA"/>
        </w:rPr>
        <w:t xml:space="preserve"> to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PREAMBLE_BACKOFF</w:t>
      </w:r>
      <w:r>
        <w:rPr>
          <w:rFonts w:ascii="Times New Roman" w:hAnsi="Times New Roman" w:eastAsia="Times New Roman" w:cs="Times New Roman"/>
          <w:lang w:val="en-GB" w:eastAsia="ko-KR" w:bidi="ar-SA"/>
        </w:rPr>
        <w:t xml:space="preserve"> to 0 ms;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w:t>
      </w:r>
      <w:r>
        <w:rPr>
          <w:rFonts w:ascii="Times New Roman" w:hAnsi="Times New Roman" w:eastAsia="Times New Roman" w:cs="Times New Roman"/>
          <w:i/>
          <w:iCs/>
          <w:lang w:val="en-GB" w:eastAsia="ja-JP" w:bidi="ar-SA"/>
        </w:rPr>
        <w:t>POWER_OFFSET_2STEP_RA</w:t>
      </w:r>
      <w:r>
        <w:rPr>
          <w:rFonts w:ascii="Times New Roman" w:hAnsi="Times New Roman" w:eastAsia="Times New Roman" w:cs="Times New Roman"/>
          <w:lang w:val="en-GB" w:eastAsia="ja-JP" w:bidi="ar-SA"/>
        </w:rPr>
        <w:t xml:space="preserve"> to 0 dB;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carrier to use for the Random Access procedure is explicitly signalled: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select the signalled carrier for performing Random Access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PCMAX</w:t>
      </w:r>
      <w:r>
        <w:rPr>
          <w:rFonts w:ascii="Times New Roman" w:hAnsi="Times New Roman" w:eastAsia="Times New Roman" w:cs="Times New Roman"/>
          <w:lang w:val="en-GB" w:eastAsia="ko-KR" w:bidi="ar-SA"/>
        </w:rPr>
        <w:t xml:space="preserve"> to 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signalled carrier.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 if the carrier to use for the Random Access procedure is not explicitly signalled;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Serving Cell for the Random Access procedure is configured with supplementary uplink as specified in TS 38.331 [5];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RSRP of the downlink pathloss reference is less than </w:t>
      </w:r>
      <w:r>
        <w:rPr>
          <w:rFonts w:ascii="Times New Roman" w:hAnsi="Times New Roman" w:eastAsia="Times New Roman" w:cs="Times New Roman"/>
          <w:i/>
          <w:lang w:val="en-GB" w:eastAsia="ko-KR" w:bidi="ar-SA"/>
        </w:rPr>
        <w:t>rsrp-ThresholdSSB-SUL</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select the SUL carrier for performing Random Access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PCMAX</w:t>
      </w:r>
      <w:r>
        <w:rPr>
          <w:rFonts w:ascii="Times New Roman" w:hAnsi="Times New Roman" w:eastAsia="Times New Roman" w:cs="Times New Roman"/>
          <w:lang w:val="en-GB" w:eastAsia="ko-KR" w:bidi="ar-SA"/>
        </w:rPr>
        <w:t xml:space="preserve"> to 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SUL carrier.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select the NUL carrier for performing Random Access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lang w:val="en-GB" w:eastAsia="ko-KR" w:bidi="ar-SA"/>
        </w:rPr>
        <w:t>PCMAX</w:t>
      </w:r>
      <w:r>
        <w:rPr>
          <w:rFonts w:ascii="Times New Roman" w:hAnsi="Times New Roman" w:eastAsia="Times New Roman" w:cs="Times New Roman"/>
          <w:lang w:val="en-GB" w:eastAsia="ko-KR" w:bidi="ar-SA"/>
        </w:rPr>
        <w:t xml:space="preserve"> to P</w:t>
      </w:r>
      <w:r>
        <w:rPr>
          <w:rFonts w:ascii="Times New Roman" w:hAnsi="Times New Roman" w:eastAsia="Times New Roman" w:cs="Times New Roman"/>
          <w:vertAlign w:val="subscript"/>
          <w:lang w:val="en-GB" w:eastAsia="ko-KR" w:bidi="ar-SA"/>
        </w:rPr>
        <w:t>CMAX,f,c</w:t>
      </w:r>
      <w:r>
        <w:rPr>
          <w:rFonts w:ascii="Times New Roman" w:hAnsi="Times New Roman" w:eastAsia="Times New Roman" w:cs="Times New Roman"/>
          <w:lang w:val="en-GB" w:eastAsia="ko-KR" w:bidi="ar-SA"/>
        </w:rPr>
        <w:t xml:space="preserve"> of the NUL carrier.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4:</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Void.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BWP operation as specified in clause 5.15, except when the Random Access procedure is initiated by the PDCCH order to an LTM candidate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select the set of Random Access resources applicable to the current Random Access procedure according to clause 5.1.1b;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Random Access procedure is initiated by PDCCH order and if the </w:t>
      </w:r>
      <w:r>
        <w:rPr>
          <w:rFonts w:ascii="Times New Roman" w:hAnsi="Times New Roman" w:eastAsia="Times New Roman" w:cs="Times New Roman"/>
          <w:i/>
          <w:iCs/>
          <w:lang w:val="en-GB" w:eastAsia="ja-JP" w:bidi="ar-SA"/>
        </w:rPr>
        <w:t>ra-PreambleIndex</w:t>
      </w:r>
      <w:r>
        <w:rPr>
          <w:rFonts w:ascii="Times New Roman" w:hAnsi="Times New Roman" w:eastAsia="Times New Roman" w:cs="Times New Roman"/>
          <w:lang w:val="en-GB" w:eastAsia="ja-JP" w:bidi="ar-SA"/>
        </w:rPr>
        <w:t xml:space="preserve"> explicitly provided by PDCCH is not 0b000000;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Random Access procedure was initiated for SI request (as specified in TS 38.331 [5]) and the Random Access Resources for SI request have been explicitly provided by RRC;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Random Access procedure was initiated for reconfiguration with sync and if the contention-free Random Access Resources for 4-step RA type have been explicitly provided in </w:t>
      </w:r>
      <w:r>
        <w:rPr>
          <w:rFonts w:ascii="Times New Roman" w:hAnsi="Times New Roman" w:eastAsia="Times New Roman" w:cs="Times New Roman"/>
          <w:i/>
          <w:iCs/>
          <w:lang w:val="en-GB" w:eastAsia="ja-JP" w:bidi="ar-SA"/>
        </w:rPr>
        <w:t>rach-ConfigDedicated</w:t>
      </w:r>
      <w:r>
        <w:rPr>
          <w:rFonts w:ascii="Times New Roman" w:hAnsi="Times New Roman" w:eastAsia="Times New Roman" w:cs="Times New Roman"/>
          <w:lang w:val="en-GB" w:eastAsia="ja-JP" w:bidi="ar-SA"/>
        </w:rPr>
        <w:t xml:space="preserve"> for the BWP selected for Random Access procedure;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Random Access procedure was initiated for LTM cell switch and if the contention-free Random Access Resources have been explicitly provided in LTM Cell Switch Command MAC 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RA_TYPE</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4-stepRA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Pr>
          <w:rFonts w:ascii="Times New Roman" w:hAnsi="Times New Roman" w:eastAsia="Times New Roman" w:cs="Times New Roman"/>
          <w:i/>
          <w:iCs/>
          <w:lang w:val="en-GB" w:eastAsia="ko-KR" w:bidi="ar-SA"/>
        </w:rPr>
        <w:t>msgA-RSRP-Threshold</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BWP selected for Random Access procedure is only configured with 2-step RA type Random Access resources within the selected set of Random Access resources according to clause 5.1.1b;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Random Access procedure was initiated for reconfiguration with sync and if the contention-free Random Access Resources for 2-step RA type have been explicitly provided in </w:t>
      </w:r>
      <w:r>
        <w:rPr>
          <w:rFonts w:ascii="Times New Roman" w:hAnsi="Times New Roman" w:eastAsia="Times New Roman" w:cs="Times New Roman"/>
          <w:i/>
          <w:iCs/>
          <w:lang w:val="en-GB" w:eastAsia="ja-JP" w:bidi="ar-SA"/>
        </w:rPr>
        <w:t>rach-ConfigDedicated</w:t>
      </w:r>
      <w:r>
        <w:rPr>
          <w:rFonts w:ascii="Times New Roman" w:hAnsi="Times New Roman" w:eastAsia="Times New Roman" w:cs="Times New Roman"/>
          <w:lang w:val="en-GB" w:eastAsia="ja-JP" w:bidi="ar-SA"/>
        </w:rPr>
        <w:t xml:space="preserve"> for the BWP selected for Random Access procedure:</w:t>
      </w:r>
    </w:p>
    <w:p>
      <w:pPr>
        <w:overflowPunct w:val="0"/>
        <w:autoSpaceDE w:val="0"/>
        <w:autoSpaceDN w:val="0"/>
        <w:adjustRightInd w:val="0"/>
        <w:spacing w:after="180" w:line="256" w:lineRule="auto"/>
        <w:ind w:left="851" w:hanging="284"/>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2&gt;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set the </w:t>
      </w:r>
      <w:r>
        <w:rPr>
          <w:rFonts w:ascii="Times New Roman" w:hAnsi="Times New Roman" w:eastAsia="等线" w:cs="Times New Roman"/>
          <w:i/>
          <w:iCs/>
          <w:lang w:val="en-GB" w:eastAsia="ko-KR" w:bidi="ar-SA"/>
        </w:rPr>
        <w:t>RA_TYPE</w:t>
      </w:r>
      <w:r>
        <w:rPr>
          <w:rFonts w:ascii="Times New Roman" w:hAnsi="Times New Roman" w:eastAsia="等线" w:cs="Times New Roman"/>
          <w:lang w:val="en-GB" w:eastAsia="ko-KR" w:bidi="ar-SA"/>
        </w:rPr>
        <w:t xml:space="preserve"> to </w:t>
      </w:r>
      <w:r>
        <w:rPr>
          <w:rFonts w:ascii="Times New Roman" w:hAnsi="Times New Roman" w:eastAsia="等线" w:cs="Times New Roman"/>
          <w:i/>
          <w:iCs/>
          <w:lang w:val="en-GB" w:eastAsia="ko-KR" w:bidi="ar-SA"/>
        </w:rPr>
        <w:t>2-stepRA</w:t>
      </w:r>
      <w:r>
        <w:rPr>
          <w:rFonts w:ascii="Times New Roman" w:hAnsi="Times New Roman" w:eastAsia="等线"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RA_TYPE</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4-stepRA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initialization of variables specific to Random Access type as specified in clause 5.1.1a;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RA_TYPE</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2-stepRA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Random Access Resource selection procedure for 2-step RA type (see clause 5.1.2a).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Random Access Resource selection procedure (see clause 5.1.2).</w:t>
      </w:r>
    </w:p>
    <w:p>
      <w:pPr>
        <w:pStyle w:val="94"/>
        <w:jc w:val="center"/>
        <w:rPr>
          <w:rFonts w:ascii="Times New Roman" w:hAnsi="Times New Roman" w:eastAsia="Malgun Gothic" w:cs="Times New Roman"/>
          <w:lang w:val="en-US"/>
        </w:rPr>
      </w:pPr>
      <w:r>
        <w:rPr>
          <w:rFonts w:ascii="Times New Roman" w:hAnsi="Times New Roman" w:eastAsia="宋体" w:cs="Times New Roman"/>
          <w:lang w:val="en-US" w:eastAsia="zh-CN"/>
        </w:rPr>
        <w:t>End of the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pStyle w:val="113"/>
      <w:lvlText w:val="%1.%2"/>
      <w:lvlJc w:val="left"/>
      <w:pPr>
        <w:tabs>
          <w:tab w:val="left" w:pos="1426"/>
        </w:tabs>
        <w:ind w:left="142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FB01FD2"/>
    <w:multiLevelType w:val="multilevel"/>
    <w:tmpl w:val="2FB01FD2"/>
    <w:lvl w:ilvl="0" w:tentative="0">
      <w:start w:val="1"/>
      <w:numFmt w:val="decimal"/>
      <w:pStyle w:val="3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AA46647"/>
    <w:multiLevelType w:val="multilevel"/>
    <w:tmpl w:val="3AA46647"/>
    <w:lvl w:ilvl="0" w:tentative="0">
      <w:start w:val="1"/>
      <w:numFmt w:val="decimal"/>
      <w:pStyle w:val="57"/>
      <w:lvlText w:val="Proposal %1"/>
      <w:lvlJc w:val="left"/>
      <w:pPr>
        <w:tabs>
          <w:tab w:val="left" w:pos="2580"/>
        </w:tabs>
        <w:ind w:left="2580" w:hanging="1304"/>
      </w:pPr>
      <w:rPr>
        <w:rFonts w:hint="default"/>
      </w:rPr>
    </w:lvl>
    <w:lvl w:ilvl="1" w:tentative="0">
      <w:start w:val="1"/>
      <w:numFmt w:val="lowerLetter"/>
      <w:lvlText w:val="%2)"/>
      <w:lvlJc w:val="left"/>
      <w:pPr>
        <w:ind w:left="8954" w:hanging="360"/>
      </w:pPr>
      <w:rPr>
        <w:rFonts w:hint="default"/>
      </w:rPr>
    </w:lvl>
    <w:lvl w:ilvl="2" w:tentative="0">
      <w:start w:val="1"/>
      <w:numFmt w:val="lowerRoman"/>
      <w:lvlText w:val="%3."/>
      <w:lvlJc w:val="right"/>
      <w:pPr>
        <w:tabs>
          <w:tab w:val="left" w:pos="9674"/>
        </w:tabs>
        <w:ind w:left="9674" w:hanging="180"/>
      </w:pPr>
    </w:lvl>
    <w:lvl w:ilvl="3" w:tentative="0">
      <w:start w:val="1"/>
      <w:numFmt w:val="decimal"/>
      <w:lvlText w:val="%4."/>
      <w:lvlJc w:val="left"/>
      <w:pPr>
        <w:tabs>
          <w:tab w:val="left" w:pos="10394"/>
        </w:tabs>
        <w:ind w:left="10394" w:hanging="360"/>
      </w:pPr>
    </w:lvl>
    <w:lvl w:ilvl="4" w:tentative="0">
      <w:start w:val="1"/>
      <w:numFmt w:val="lowerLetter"/>
      <w:lvlText w:val="%5."/>
      <w:lvlJc w:val="left"/>
      <w:pPr>
        <w:tabs>
          <w:tab w:val="left" w:pos="11114"/>
        </w:tabs>
        <w:ind w:left="11114" w:hanging="360"/>
      </w:pPr>
    </w:lvl>
    <w:lvl w:ilvl="5" w:tentative="0">
      <w:start w:val="1"/>
      <w:numFmt w:val="lowerRoman"/>
      <w:lvlText w:val="%6."/>
      <w:lvlJc w:val="right"/>
      <w:pPr>
        <w:tabs>
          <w:tab w:val="left" w:pos="11834"/>
        </w:tabs>
        <w:ind w:left="11834" w:hanging="180"/>
      </w:pPr>
    </w:lvl>
    <w:lvl w:ilvl="6" w:tentative="0">
      <w:start w:val="1"/>
      <w:numFmt w:val="decimal"/>
      <w:lvlText w:val="%7."/>
      <w:lvlJc w:val="left"/>
      <w:pPr>
        <w:tabs>
          <w:tab w:val="left" w:pos="12554"/>
        </w:tabs>
        <w:ind w:left="12554" w:hanging="360"/>
      </w:pPr>
    </w:lvl>
    <w:lvl w:ilvl="7" w:tentative="0">
      <w:start w:val="1"/>
      <w:numFmt w:val="lowerLetter"/>
      <w:lvlText w:val="%8."/>
      <w:lvlJc w:val="left"/>
      <w:pPr>
        <w:tabs>
          <w:tab w:val="left" w:pos="13274"/>
        </w:tabs>
        <w:ind w:left="13274" w:hanging="360"/>
      </w:pPr>
    </w:lvl>
    <w:lvl w:ilvl="8" w:tentative="0">
      <w:start w:val="1"/>
      <w:numFmt w:val="lowerRoman"/>
      <w:lvlText w:val="%9."/>
      <w:lvlJc w:val="right"/>
      <w:pPr>
        <w:tabs>
          <w:tab w:val="left" w:pos="13994"/>
        </w:tabs>
        <w:ind w:left="13994" w:hanging="180"/>
      </w:pPr>
    </w:lvl>
  </w:abstractNum>
  <w:abstractNum w:abstractNumId="3">
    <w:nsid w:val="4BDF65F6"/>
    <w:multiLevelType w:val="multilevel"/>
    <w:tmpl w:val="4BDF65F6"/>
    <w:lvl w:ilvl="0" w:tentative="0">
      <w:start w:val="1"/>
      <w:numFmt w:val="decimal"/>
      <w:pStyle w:val="10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11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12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wei_xiaomi">
    <w15:presenceInfo w15:providerId="None" w15:userId="xiaowei_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lMGFjMWNjMTQxZGRjZDBmMDU3M2M1MWJiYjlhNzEifQ=="/>
  </w:docVars>
  <w:rsids>
    <w:rsidRoot w:val="00022E4A"/>
    <w:rsid w:val="00022E4A"/>
    <w:rsid w:val="00044B6E"/>
    <w:rsid w:val="000A6394"/>
    <w:rsid w:val="000B7FED"/>
    <w:rsid w:val="000C038A"/>
    <w:rsid w:val="000C6598"/>
    <w:rsid w:val="000D44B3"/>
    <w:rsid w:val="00135F36"/>
    <w:rsid w:val="00145D43"/>
    <w:rsid w:val="001670E5"/>
    <w:rsid w:val="00192C46"/>
    <w:rsid w:val="001A08B3"/>
    <w:rsid w:val="001A7B60"/>
    <w:rsid w:val="001B52F0"/>
    <w:rsid w:val="001B7A65"/>
    <w:rsid w:val="001E41F3"/>
    <w:rsid w:val="0020495F"/>
    <w:rsid w:val="002300F2"/>
    <w:rsid w:val="00236A75"/>
    <w:rsid w:val="0026004D"/>
    <w:rsid w:val="002640DD"/>
    <w:rsid w:val="00275D12"/>
    <w:rsid w:val="00284FEB"/>
    <w:rsid w:val="002860C4"/>
    <w:rsid w:val="002B5741"/>
    <w:rsid w:val="002E472E"/>
    <w:rsid w:val="00305409"/>
    <w:rsid w:val="003609EF"/>
    <w:rsid w:val="0036231A"/>
    <w:rsid w:val="00374DD4"/>
    <w:rsid w:val="003B30D6"/>
    <w:rsid w:val="003E1A36"/>
    <w:rsid w:val="00410371"/>
    <w:rsid w:val="004242F1"/>
    <w:rsid w:val="00452CC5"/>
    <w:rsid w:val="004B75B7"/>
    <w:rsid w:val="004E6405"/>
    <w:rsid w:val="005141D9"/>
    <w:rsid w:val="0051580D"/>
    <w:rsid w:val="00547111"/>
    <w:rsid w:val="005621ED"/>
    <w:rsid w:val="00592D74"/>
    <w:rsid w:val="005C3AF5"/>
    <w:rsid w:val="005D6EF3"/>
    <w:rsid w:val="005E2C44"/>
    <w:rsid w:val="00621188"/>
    <w:rsid w:val="006257ED"/>
    <w:rsid w:val="00653DE4"/>
    <w:rsid w:val="00665C47"/>
    <w:rsid w:val="00695808"/>
    <w:rsid w:val="006B46FB"/>
    <w:rsid w:val="006E21FB"/>
    <w:rsid w:val="00704179"/>
    <w:rsid w:val="007313E5"/>
    <w:rsid w:val="00776733"/>
    <w:rsid w:val="00792342"/>
    <w:rsid w:val="007977A8"/>
    <w:rsid w:val="007B512A"/>
    <w:rsid w:val="007C2097"/>
    <w:rsid w:val="007D1043"/>
    <w:rsid w:val="007D6A07"/>
    <w:rsid w:val="007E360A"/>
    <w:rsid w:val="007F7259"/>
    <w:rsid w:val="008040A8"/>
    <w:rsid w:val="00816775"/>
    <w:rsid w:val="008279FA"/>
    <w:rsid w:val="008626E7"/>
    <w:rsid w:val="00870E5D"/>
    <w:rsid w:val="00870EE7"/>
    <w:rsid w:val="0088071B"/>
    <w:rsid w:val="008863B9"/>
    <w:rsid w:val="008A45A6"/>
    <w:rsid w:val="008D3CCC"/>
    <w:rsid w:val="008F3789"/>
    <w:rsid w:val="008F686C"/>
    <w:rsid w:val="009148DE"/>
    <w:rsid w:val="00941E30"/>
    <w:rsid w:val="009777D9"/>
    <w:rsid w:val="00991B88"/>
    <w:rsid w:val="009A5753"/>
    <w:rsid w:val="009A579D"/>
    <w:rsid w:val="009B28AA"/>
    <w:rsid w:val="009D38E7"/>
    <w:rsid w:val="009E3297"/>
    <w:rsid w:val="009F734F"/>
    <w:rsid w:val="00A246B6"/>
    <w:rsid w:val="00A31AEE"/>
    <w:rsid w:val="00A32B75"/>
    <w:rsid w:val="00A47E70"/>
    <w:rsid w:val="00A50CF0"/>
    <w:rsid w:val="00A71F65"/>
    <w:rsid w:val="00A7671C"/>
    <w:rsid w:val="00AA2CBC"/>
    <w:rsid w:val="00AB782F"/>
    <w:rsid w:val="00AC5820"/>
    <w:rsid w:val="00AC6078"/>
    <w:rsid w:val="00AD1CD8"/>
    <w:rsid w:val="00AE2770"/>
    <w:rsid w:val="00AE3407"/>
    <w:rsid w:val="00B258BB"/>
    <w:rsid w:val="00B67B97"/>
    <w:rsid w:val="00B968C8"/>
    <w:rsid w:val="00BA3EC5"/>
    <w:rsid w:val="00BA51D9"/>
    <w:rsid w:val="00BB5DFC"/>
    <w:rsid w:val="00BD279D"/>
    <w:rsid w:val="00BD6BB8"/>
    <w:rsid w:val="00BE1F0E"/>
    <w:rsid w:val="00C10A3E"/>
    <w:rsid w:val="00C66BA2"/>
    <w:rsid w:val="00C870F6"/>
    <w:rsid w:val="00C95985"/>
    <w:rsid w:val="00CC5026"/>
    <w:rsid w:val="00CC68D0"/>
    <w:rsid w:val="00D03F9A"/>
    <w:rsid w:val="00D06D51"/>
    <w:rsid w:val="00D24991"/>
    <w:rsid w:val="00D50255"/>
    <w:rsid w:val="00D66520"/>
    <w:rsid w:val="00D84AE9"/>
    <w:rsid w:val="00DA34E4"/>
    <w:rsid w:val="00DE34CF"/>
    <w:rsid w:val="00E13F3D"/>
    <w:rsid w:val="00E34898"/>
    <w:rsid w:val="00E95176"/>
    <w:rsid w:val="00EB09B7"/>
    <w:rsid w:val="00EE7D7C"/>
    <w:rsid w:val="00F25D98"/>
    <w:rsid w:val="00F300FB"/>
    <w:rsid w:val="00F609E7"/>
    <w:rsid w:val="00FB6386"/>
    <w:rsid w:val="00FD0B2B"/>
    <w:rsid w:val="087D3A94"/>
    <w:rsid w:val="09F8110D"/>
    <w:rsid w:val="0D554FDF"/>
    <w:rsid w:val="0F20161D"/>
    <w:rsid w:val="0FDA73BD"/>
    <w:rsid w:val="0FDC3796"/>
    <w:rsid w:val="1454558F"/>
    <w:rsid w:val="14A10B0A"/>
    <w:rsid w:val="150A4901"/>
    <w:rsid w:val="164200CB"/>
    <w:rsid w:val="1CBA09BB"/>
    <w:rsid w:val="2369313B"/>
    <w:rsid w:val="24B57309"/>
    <w:rsid w:val="26DE5C34"/>
    <w:rsid w:val="2FF40230"/>
    <w:rsid w:val="36965B9D"/>
    <w:rsid w:val="3A28261E"/>
    <w:rsid w:val="3CE61817"/>
    <w:rsid w:val="3EBC2E84"/>
    <w:rsid w:val="42463F9D"/>
    <w:rsid w:val="50EE68AA"/>
    <w:rsid w:val="52CB49C9"/>
    <w:rsid w:val="53137122"/>
    <w:rsid w:val="56921BAC"/>
    <w:rsid w:val="59E56370"/>
    <w:rsid w:val="5A3966BC"/>
    <w:rsid w:val="6D981BFC"/>
    <w:rsid w:val="727662A7"/>
    <w:rsid w:val="7FA206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qFormat="1" w:unhideWhenUsed="0" w:uiPriority="0" w:semiHidden="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autoRedefine/>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0">
    <w:name w:val="Default Paragraph Font"/>
    <w:autoRedefine/>
    <w:semiHidden/>
    <w:unhideWhenUsed/>
    <w:qFormat/>
    <w:uiPriority w:val="1"/>
  </w:style>
  <w:style w:type="table" w:default="1" w:styleId="47">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0"/>
    <w:pPr>
      <w:overflowPunct w:val="0"/>
      <w:autoSpaceDE w:val="0"/>
      <w:autoSpaceDN w:val="0"/>
      <w:adjustRightInd w:val="0"/>
      <w:spacing w:after="240"/>
      <w:jc w:val="center"/>
      <w:textAlignment w:val="baseline"/>
    </w:pPr>
    <w:rPr>
      <w:rFonts w:ascii="Arial" w:hAnsi="Arial" w:eastAsia="等线"/>
      <w:b/>
      <w:bCs/>
      <w:lang w:eastAsia="zh-CN"/>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97"/>
    <w:autoRedefine/>
    <w:qFormat/>
    <w:uiPriority w:val="0"/>
  </w:style>
  <w:style w:type="paragraph" w:styleId="31">
    <w:name w:val="Body Text"/>
    <w:basedOn w:val="1"/>
    <w:link w:val="96"/>
    <w:autoRedefine/>
    <w:qFormat/>
    <w:uiPriority w:val="0"/>
    <w:pPr>
      <w:overflowPunct w:val="0"/>
      <w:autoSpaceDE w:val="0"/>
      <w:autoSpaceDN w:val="0"/>
      <w:adjustRightInd w:val="0"/>
      <w:spacing w:after="120"/>
      <w:jc w:val="both"/>
      <w:textAlignment w:val="baseline"/>
    </w:pPr>
    <w:rPr>
      <w:rFonts w:ascii="Arial" w:hAnsi="Arial" w:eastAsia="等线"/>
      <w:lang w:eastAsia="zh-CN"/>
    </w:rPr>
  </w:style>
  <w:style w:type="paragraph" w:styleId="32">
    <w:name w:val="List Bullet 5"/>
    <w:basedOn w:val="24"/>
    <w:autoRedefine/>
    <w:qFormat/>
    <w:uiPriority w:val="0"/>
    <w:pPr>
      <w:ind w:left="1702"/>
    </w:pPr>
  </w:style>
  <w:style w:type="paragraph" w:styleId="33">
    <w:name w:val="List Number 4"/>
    <w:basedOn w:val="1"/>
    <w:autoRedefine/>
    <w:qFormat/>
    <w:uiPriority w:val="0"/>
    <w:pPr>
      <w:numPr>
        <w:ilvl w:val="0"/>
        <w:numId w:val="1"/>
      </w:numPr>
      <w:tabs>
        <w:tab w:val="left" w:pos="1209"/>
      </w:tabs>
      <w:overflowPunct w:val="0"/>
      <w:autoSpaceDE w:val="0"/>
      <w:autoSpaceDN w:val="0"/>
      <w:adjustRightInd w:val="0"/>
      <w:ind w:left="1209"/>
      <w:textAlignment w:val="baseline"/>
    </w:pPr>
    <w:rPr>
      <w:rFonts w:eastAsia="MS Mincho"/>
      <w:lang w:eastAsia="en-GB"/>
    </w:rPr>
  </w:style>
  <w:style w:type="paragraph" w:styleId="34">
    <w:name w:val="toc 8"/>
    <w:basedOn w:val="21"/>
    <w:autoRedefine/>
    <w:semiHidden/>
    <w:qFormat/>
    <w:uiPriority w:val="0"/>
    <w:pPr>
      <w:spacing w:before="180"/>
      <w:ind w:left="2693" w:hanging="2693"/>
    </w:pPr>
    <w:rPr>
      <w:b/>
    </w:rPr>
  </w:style>
  <w:style w:type="paragraph" w:styleId="35">
    <w:name w:val="Balloon Text"/>
    <w:basedOn w:val="1"/>
    <w:autoRedefine/>
    <w:semiHidden/>
    <w:qFormat/>
    <w:uiPriority w:val="0"/>
    <w:rPr>
      <w:rFonts w:ascii="Tahoma" w:hAnsi="Tahoma" w:cs="Tahoma"/>
      <w:sz w:val="16"/>
      <w:szCs w:val="16"/>
    </w:rPr>
  </w:style>
  <w:style w:type="paragraph" w:styleId="36">
    <w:name w:val="footer"/>
    <w:basedOn w:val="37"/>
    <w:autoRedefine/>
    <w:qFormat/>
    <w:uiPriority w:val="0"/>
    <w:pPr>
      <w:jc w:val="center"/>
    </w:pPr>
    <w:rPr>
      <w:i/>
    </w:rPr>
  </w:style>
  <w:style w:type="paragraph" w:styleId="37">
    <w:name w:val="header"/>
    <w:autoRedefine/>
    <w:qFormat/>
    <w:uiPriority w:val="0"/>
    <w:pPr>
      <w:widowControl w:val="0"/>
    </w:pPr>
    <w:rPr>
      <w:rFonts w:ascii="Arial" w:hAnsi="Arial" w:cs="Times New Roman" w:eastAsiaTheme="minorEastAsia"/>
      <w:b/>
      <w:sz w:val="18"/>
      <w:lang w:val="en-GB" w:eastAsia="en-US" w:bidi="ar-SA"/>
    </w:rPr>
  </w:style>
  <w:style w:type="paragraph" w:styleId="38">
    <w:name w:val="footnote text"/>
    <w:basedOn w:val="1"/>
    <w:autoRedefine/>
    <w:semiHidden/>
    <w:qFormat/>
    <w:uiPriority w:val="0"/>
    <w:pPr>
      <w:keepLines/>
      <w:spacing w:after="0"/>
      <w:ind w:left="454" w:hanging="454"/>
    </w:pPr>
    <w:rPr>
      <w:sz w:val="16"/>
    </w:rPr>
  </w:style>
  <w:style w:type="paragraph" w:styleId="39">
    <w:name w:val="List 5"/>
    <w:basedOn w:val="40"/>
    <w:autoRedefine/>
    <w:qFormat/>
    <w:uiPriority w:val="0"/>
    <w:pPr>
      <w:ind w:left="1702"/>
    </w:pPr>
  </w:style>
  <w:style w:type="paragraph" w:styleId="40">
    <w:name w:val="List 4"/>
    <w:basedOn w:val="12"/>
    <w:autoRedefine/>
    <w:qFormat/>
    <w:uiPriority w:val="0"/>
    <w:pPr>
      <w:ind w:left="1418"/>
    </w:pPr>
  </w:style>
  <w:style w:type="paragraph" w:styleId="41">
    <w:name w:val="table of figures"/>
    <w:basedOn w:val="1"/>
    <w:next w:val="1"/>
    <w:autoRedefine/>
    <w:qFormat/>
    <w:uiPriority w:val="99"/>
    <w:pPr>
      <w:overflowPunct w:val="0"/>
      <w:autoSpaceDE w:val="0"/>
      <w:autoSpaceDN w:val="0"/>
      <w:adjustRightInd w:val="0"/>
      <w:spacing w:after="120"/>
      <w:ind w:left="1418" w:hanging="1418"/>
      <w:textAlignment w:val="baseline"/>
    </w:pPr>
    <w:rPr>
      <w:rFonts w:ascii="Arial" w:hAnsi="Arial" w:eastAsia="等线"/>
      <w:b/>
      <w:lang w:eastAsia="zh-CN"/>
    </w:rPr>
  </w:style>
  <w:style w:type="paragraph" w:styleId="42">
    <w:name w:val="toc 9"/>
    <w:basedOn w:val="34"/>
    <w:autoRedefine/>
    <w:semiHidden/>
    <w:qFormat/>
    <w:uiPriority w:val="0"/>
    <w:pPr>
      <w:ind w:left="1418" w:hanging="1418"/>
    </w:pPr>
  </w:style>
  <w:style w:type="paragraph" w:styleId="43">
    <w:name w:val="Normal (Web)"/>
    <w:basedOn w:val="1"/>
    <w:autoRedefine/>
    <w:unhideWhenUsed/>
    <w:qFormat/>
    <w:uiPriority w:val="99"/>
    <w:pPr>
      <w:spacing w:before="100" w:beforeAutospacing="1" w:after="100" w:afterAutospacing="1"/>
    </w:pPr>
    <w:rPr>
      <w:rFonts w:eastAsia="宋体"/>
      <w:sz w:val="24"/>
      <w:szCs w:val="24"/>
      <w:lang w:val="en-US" w:eastAsia="zh-CN"/>
    </w:rPr>
  </w:style>
  <w:style w:type="paragraph" w:styleId="44">
    <w:name w:val="index 1"/>
    <w:basedOn w:val="1"/>
    <w:autoRedefine/>
    <w:semiHidden/>
    <w:qFormat/>
    <w:uiPriority w:val="0"/>
    <w:pPr>
      <w:keepLines/>
      <w:spacing w:after="0"/>
    </w:pPr>
  </w:style>
  <w:style w:type="paragraph" w:styleId="45">
    <w:name w:val="index 2"/>
    <w:basedOn w:val="44"/>
    <w:autoRedefine/>
    <w:semiHidden/>
    <w:qFormat/>
    <w:uiPriority w:val="0"/>
    <w:pPr>
      <w:ind w:left="284"/>
    </w:pPr>
  </w:style>
  <w:style w:type="paragraph" w:styleId="46">
    <w:name w:val="annotation subject"/>
    <w:basedOn w:val="30"/>
    <w:next w:val="30"/>
    <w:autoRedefine/>
    <w:semiHidden/>
    <w:qFormat/>
    <w:uiPriority w:val="0"/>
    <w:rPr>
      <w:b/>
      <w:bCs/>
    </w:rPr>
  </w:style>
  <w:style w:type="table" w:styleId="48">
    <w:name w:val="Table Grid"/>
    <w:basedOn w:val="47"/>
    <w:autoRedefine/>
    <w:qFormat/>
    <w:uiPriority w:val="0"/>
    <w:rPr>
      <w:rFonts w:hint="eastAsia"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name w:val="Table Colorful 3"/>
    <w:basedOn w:val="47"/>
    <w:autoRedefine/>
    <w:qFormat/>
    <w:uiPriority w:val="0"/>
    <w:pPr>
      <w:overflowPunct w:val="0"/>
      <w:autoSpaceDE w:val="0"/>
      <w:autoSpaceDN w:val="0"/>
      <w:adjustRightInd w:val="0"/>
      <w:spacing w:after="120"/>
      <w:jc w:val="both"/>
      <w:textAlignment w:val="baseline"/>
    </w:pPr>
    <w:rPr>
      <w:rFonts w:hint="eastAsia" w:ascii="Times New Roman" w:hAnsi="Times New Roman" w:eastAsia="等线"/>
      <w:lang w:val="en-US" w:eastAsia="zh-C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51">
    <w:name w:val="page number"/>
    <w:autoRedefine/>
    <w:semiHidden/>
    <w:qFormat/>
    <w:uiPriority w:val="0"/>
  </w:style>
  <w:style w:type="character" w:styleId="52">
    <w:name w:val="FollowedHyperlink"/>
    <w:autoRedefine/>
    <w:qFormat/>
    <w:uiPriority w:val="0"/>
    <w:rPr>
      <w:color w:val="800080"/>
      <w:u w:val="single"/>
    </w:rPr>
  </w:style>
  <w:style w:type="character" w:styleId="53">
    <w:name w:val="Emphasis"/>
    <w:autoRedefine/>
    <w:qFormat/>
    <w:uiPriority w:val="20"/>
    <w:rPr>
      <w:i/>
      <w:iCs/>
    </w:rPr>
  </w:style>
  <w:style w:type="character" w:styleId="54">
    <w:name w:val="Hyperlink"/>
    <w:autoRedefine/>
    <w:qFormat/>
    <w:uiPriority w:val="99"/>
    <w:rPr>
      <w:color w:val="0000FF"/>
      <w:u w:val="single"/>
    </w:rPr>
  </w:style>
  <w:style w:type="character" w:styleId="55">
    <w:name w:val="annotation reference"/>
    <w:autoRedefine/>
    <w:qFormat/>
    <w:uiPriority w:val="0"/>
    <w:rPr>
      <w:sz w:val="16"/>
    </w:rPr>
  </w:style>
  <w:style w:type="character" w:styleId="56">
    <w:name w:val="footnote reference"/>
    <w:autoRedefine/>
    <w:semiHidden/>
    <w:qFormat/>
    <w:uiPriority w:val="0"/>
    <w:rPr>
      <w:b/>
      <w:position w:val="6"/>
      <w:sz w:val="16"/>
    </w:rPr>
  </w:style>
  <w:style w:type="paragraph" w:customStyle="1" w:styleId="57">
    <w:name w:val="Proposal"/>
    <w:basedOn w:val="1"/>
    <w:link w:val="98"/>
    <w:autoRedefine/>
    <w:qFormat/>
    <w:uiPriority w:val="0"/>
    <w:pPr>
      <w:numPr>
        <w:ilvl w:val="0"/>
        <w:numId w:val="2"/>
      </w:numPr>
      <w:tabs>
        <w:tab w:val="left" w:pos="1701"/>
      </w:tabs>
      <w:overflowPunct w:val="0"/>
      <w:autoSpaceDE w:val="0"/>
      <w:autoSpaceDN w:val="0"/>
      <w:adjustRightInd w:val="0"/>
      <w:spacing w:after="120"/>
      <w:jc w:val="both"/>
      <w:textAlignment w:val="baseline"/>
    </w:pPr>
    <w:rPr>
      <w:rFonts w:ascii="Arial" w:hAnsi="Arial" w:eastAsia="等线"/>
      <w:b/>
      <w:bCs/>
      <w:lang w:eastAsia="zh-CN"/>
    </w:rPr>
  </w:style>
  <w:style w:type="paragraph" w:customStyle="1" w:styleId="58">
    <w:name w:val="ZT"/>
    <w:autoRedefine/>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H"/>
    <w:autoRedefine/>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T"/>
    <w:basedOn w:val="2"/>
    <w:next w:val="1"/>
    <w:autoRedefine/>
    <w:qFormat/>
    <w:uiPriority w:val="0"/>
    <w:pPr>
      <w:outlineLvl w:val="9"/>
    </w:pPr>
  </w:style>
  <w:style w:type="paragraph" w:customStyle="1" w:styleId="61">
    <w:name w:val="TAH"/>
    <w:basedOn w:val="62"/>
    <w:link w:val="109"/>
    <w:autoRedefine/>
    <w:qFormat/>
    <w:uiPriority w:val="0"/>
    <w:rPr>
      <w:b/>
    </w:rPr>
  </w:style>
  <w:style w:type="paragraph" w:customStyle="1" w:styleId="62">
    <w:name w:val="TAC"/>
    <w:basedOn w:val="63"/>
    <w:link w:val="108"/>
    <w:autoRedefine/>
    <w:qFormat/>
    <w:uiPriority w:val="0"/>
    <w:pPr>
      <w:jc w:val="center"/>
    </w:pPr>
  </w:style>
  <w:style w:type="paragraph" w:customStyle="1" w:styleId="63">
    <w:name w:val="TAL"/>
    <w:basedOn w:val="1"/>
    <w:link w:val="107"/>
    <w:autoRedefine/>
    <w:qFormat/>
    <w:uiPriority w:val="0"/>
    <w:pPr>
      <w:keepNext/>
      <w:keepLines/>
      <w:spacing w:after="0"/>
    </w:pPr>
    <w:rPr>
      <w:rFonts w:ascii="Arial" w:hAnsi="Arial"/>
      <w:sz w:val="18"/>
    </w:rPr>
  </w:style>
  <w:style w:type="paragraph" w:customStyle="1" w:styleId="64">
    <w:name w:val="TF"/>
    <w:basedOn w:val="65"/>
    <w:link w:val="111"/>
    <w:autoRedefine/>
    <w:qFormat/>
    <w:uiPriority w:val="0"/>
    <w:pPr>
      <w:keepNext w:val="0"/>
      <w:spacing w:before="0" w:after="240"/>
    </w:pPr>
  </w:style>
  <w:style w:type="paragraph" w:customStyle="1" w:styleId="65">
    <w:name w:val="TH"/>
    <w:basedOn w:val="1"/>
    <w:link w:val="110"/>
    <w:autoRedefine/>
    <w:qFormat/>
    <w:uiPriority w:val="0"/>
    <w:pPr>
      <w:keepNext/>
      <w:keepLines/>
      <w:spacing w:before="60"/>
      <w:jc w:val="center"/>
    </w:pPr>
    <w:rPr>
      <w:rFonts w:ascii="Arial" w:hAnsi="Arial"/>
      <w:b/>
    </w:rPr>
  </w:style>
  <w:style w:type="paragraph" w:customStyle="1" w:styleId="66">
    <w:name w:val="NO"/>
    <w:basedOn w:val="1"/>
    <w:link w:val="120"/>
    <w:autoRedefine/>
    <w:qFormat/>
    <w:uiPriority w:val="0"/>
    <w:pPr>
      <w:keepLines/>
      <w:ind w:left="1135" w:hanging="851"/>
    </w:pPr>
  </w:style>
  <w:style w:type="paragraph" w:customStyle="1" w:styleId="67">
    <w:name w:val="EX"/>
    <w:basedOn w:val="1"/>
    <w:autoRedefine/>
    <w:qFormat/>
    <w:uiPriority w:val="0"/>
    <w:pPr>
      <w:keepLines/>
      <w:ind w:left="1702" w:hanging="1418"/>
    </w:pPr>
  </w:style>
  <w:style w:type="paragraph" w:customStyle="1" w:styleId="68">
    <w:name w:val="FP"/>
    <w:basedOn w:val="1"/>
    <w:autoRedefine/>
    <w:qFormat/>
    <w:uiPriority w:val="0"/>
    <w:pPr>
      <w:spacing w:after="0"/>
    </w:pPr>
  </w:style>
  <w:style w:type="paragraph" w:customStyle="1" w:styleId="69">
    <w:name w:val="LD"/>
    <w:autoRedefine/>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0">
    <w:name w:val="NW"/>
    <w:basedOn w:val="66"/>
    <w:autoRedefine/>
    <w:qFormat/>
    <w:uiPriority w:val="0"/>
    <w:pPr>
      <w:spacing w:after="0"/>
    </w:pPr>
  </w:style>
  <w:style w:type="paragraph" w:customStyle="1" w:styleId="71">
    <w:name w:val="EW"/>
    <w:basedOn w:val="67"/>
    <w:autoRedefine/>
    <w:qFormat/>
    <w:uiPriority w:val="0"/>
    <w:pPr>
      <w:spacing w:after="0"/>
    </w:pPr>
  </w:style>
  <w:style w:type="paragraph" w:customStyle="1" w:styleId="72">
    <w:name w:val="EQ"/>
    <w:basedOn w:val="1"/>
    <w:next w:val="1"/>
    <w:autoRedefine/>
    <w:qFormat/>
    <w:uiPriority w:val="0"/>
    <w:pPr>
      <w:keepLines/>
      <w:tabs>
        <w:tab w:val="center" w:pos="4536"/>
        <w:tab w:val="right" w:pos="9072"/>
      </w:tabs>
    </w:pPr>
  </w:style>
  <w:style w:type="paragraph" w:customStyle="1" w:styleId="73">
    <w:name w:val="NF"/>
    <w:basedOn w:val="66"/>
    <w:autoRedefine/>
    <w:qFormat/>
    <w:uiPriority w:val="0"/>
    <w:pPr>
      <w:keepNext/>
      <w:spacing w:after="0"/>
    </w:pPr>
    <w:rPr>
      <w:rFonts w:ascii="Arial" w:hAnsi="Arial"/>
      <w:sz w:val="18"/>
    </w:rPr>
  </w:style>
  <w:style w:type="paragraph" w:customStyle="1" w:styleId="74">
    <w:name w:val="PL"/>
    <w:link w:val="12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5">
    <w:name w:val="TAR"/>
    <w:basedOn w:val="63"/>
    <w:autoRedefine/>
    <w:qFormat/>
    <w:uiPriority w:val="0"/>
    <w:pPr>
      <w:jc w:val="right"/>
    </w:pPr>
  </w:style>
  <w:style w:type="paragraph" w:customStyle="1" w:styleId="76">
    <w:name w:val="TAN"/>
    <w:basedOn w:val="63"/>
    <w:link w:val="133"/>
    <w:autoRedefine/>
    <w:qFormat/>
    <w:uiPriority w:val="0"/>
    <w:pPr>
      <w:ind w:left="851" w:hanging="851"/>
    </w:pPr>
  </w:style>
  <w:style w:type="paragraph" w:customStyle="1" w:styleId="77">
    <w:name w:val="ZA"/>
    <w:autoRedefine/>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8">
    <w:name w:val="ZB"/>
    <w:autoRedefine/>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9">
    <w:name w:val="ZD"/>
    <w:autoRedefine/>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ZU"/>
    <w:autoRedefine/>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1">
    <w:name w:val="ZV"/>
    <w:basedOn w:val="80"/>
    <w:autoRedefine/>
    <w:qFormat/>
    <w:uiPriority w:val="0"/>
    <w:pPr>
      <w:framePr w:y="16161"/>
    </w:pPr>
  </w:style>
  <w:style w:type="character" w:customStyle="1" w:styleId="82">
    <w:name w:val="ZGSM"/>
    <w:autoRedefine/>
    <w:qFormat/>
    <w:uiPriority w:val="0"/>
  </w:style>
  <w:style w:type="paragraph" w:customStyle="1" w:styleId="83">
    <w:name w:val="ZG"/>
    <w:autoRedefine/>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4">
    <w:name w:val="Editor's Note"/>
    <w:basedOn w:val="66"/>
    <w:link w:val="101"/>
    <w:autoRedefine/>
    <w:qFormat/>
    <w:uiPriority w:val="0"/>
    <w:rPr>
      <w:color w:val="FF0000"/>
    </w:rPr>
  </w:style>
  <w:style w:type="paragraph" w:customStyle="1" w:styleId="85">
    <w:name w:val="B1"/>
    <w:basedOn w:val="14"/>
    <w:link w:val="103"/>
    <w:autoRedefine/>
    <w:qFormat/>
    <w:uiPriority w:val="0"/>
  </w:style>
  <w:style w:type="paragraph" w:customStyle="1" w:styleId="86">
    <w:name w:val="B2"/>
    <w:basedOn w:val="13"/>
    <w:link w:val="104"/>
    <w:autoRedefine/>
    <w:qFormat/>
    <w:uiPriority w:val="0"/>
  </w:style>
  <w:style w:type="paragraph" w:customStyle="1" w:styleId="87">
    <w:name w:val="B3"/>
    <w:basedOn w:val="12"/>
    <w:link w:val="105"/>
    <w:autoRedefine/>
    <w:qFormat/>
    <w:uiPriority w:val="0"/>
  </w:style>
  <w:style w:type="paragraph" w:customStyle="1" w:styleId="88">
    <w:name w:val="B4"/>
    <w:basedOn w:val="40"/>
    <w:link w:val="106"/>
    <w:autoRedefine/>
    <w:qFormat/>
    <w:uiPriority w:val="0"/>
  </w:style>
  <w:style w:type="paragraph" w:customStyle="1" w:styleId="89">
    <w:name w:val="B5"/>
    <w:basedOn w:val="39"/>
    <w:autoRedefine/>
    <w:qFormat/>
    <w:uiPriority w:val="0"/>
  </w:style>
  <w:style w:type="paragraph" w:customStyle="1" w:styleId="90">
    <w:name w:val="ZTD"/>
    <w:basedOn w:val="78"/>
    <w:autoRedefine/>
    <w:qFormat/>
    <w:uiPriority w:val="0"/>
    <w:pPr>
      <w:framePr w:hRule="auto" w:y="852"/>
    </w:pPr>
    <w:rPr>
      <w:i w:val="0"/>
      <w:sz w:val="40"/>
    </w:rPr>
  </w:style>
  <w:style w:type="paragraph" w:customStyle="1" w:styleId="91">
    <w:name w:val="CR Cover Page"/>
    <w:link w:val="93"/>
    <w:autoRedefine/>
    <w:qFormat/>
    <w:uiPriority w:val="0"/>
    <w:pPr>
      <w:spacing w:after="120"/>
    </w:pPr>
    <w:rPr>
      <w:rFonts w:ascii="Arial" w:hAnsi="Arial" w:cs="Times New Roman" w:eastAsiaTheme="minorEastAsia"/>
      <w:lang w:val="en-GB" w:eastAsia="en-US" w:bidi="ar-SA"/>
    </w:rPr>
  </w:style>
  <w:style w:type="paragraph" w:customStyle="1" w:styleId="92">
    <w:name w:val="tdoc-header"/>
    <w:autoRedefine/>
    <w:qFormat/>
    <w:uiPriority w:val="0"/>
    <w:rPr>
      <w:rFonts w:ascii="Arial" w:hAnsi="Arial" w:cs="Times New Roman" w:eastAsiaTheme="minorEastAsia"/>
      <w:sz w:val="24"/>
      <w:lang w:val="en-GB" w:eastAsia="en-US" w:bidi="ar-SA"/>
    </w:rPr>
  </w:style>
  <w:style w:type="character" w:customStyle="1" w:styleId="93">
    <w:name w:val="CR Cover Page Zchn"/>
    <w:link w:val="91"/>
    <w:autoRedefine/>
    <w:qFormat/>
    <w:uiPriority w:val="0"/>
    <w:rPr>
      <w:rFonts w:ascii="Arial" w:hAnsi="Arial"/>
      <w:lang w:val="en-GB" w:eastAsia="en-US"/>
    </w:rPr>
  </w:style>
  <w:style w:type="paragraph" w:customStyle="1" w:styleId="94">
    <w:name w:val="Note - Boxed"/>
    <w:basedOn w:val="1"/>
    <w:next w:val="1"/>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95">
    <w:name w:val="标题 1 字符"/>
    <w:link w:val="2"/>
    <w:autoRedefine/>
    <w:qFormat/>
    <w:uiPriority w:val="0"/>
    <w:rPr>
      <w:rFonts w:ascii="Arial" w:hAnsi="Arial"/>
      <w:sz w:val="36"/>
      <w:lang w:val="en-GB" w:eastAsia="en-US"/>
    </w:rPr>
  </w:style>
  <w:style w:type="character" w:customStyle="1" w:styleId="96">
    <w:name w:val="正文文本 字符"/>
    <w:basedOn w:val="50"/>
    <w:link w:val="31"/>
    <w:autoRedefine/>
    <w:qFormat/>
    <w:uiPriority w:val="0"/>
    <w:rPr>
      <w:rFonts w:ascii="Arial" w:hAnsi="Arial" w:eastAsia="等线"/>
      <w:lang w:val="en-GB" w:eastAsia="zh-CN"/>
    </w:rPr>
  </w:style>
  <w:style w:type="character" w:customStyle="1" w:styleId="97">
    <w:name w:val="批注文字 字符1"/>
    <w:link w:val="30"/>
    <w:autoRedefine/>
    <w:qFormat/>
    <w:uiPriority w:val="0"/>
    <w:rPr>
      <w:rFonts w:ascii="Times New Roman" w:hAnsi="Times New Roman"/>
      <w:lang w:val="en-GB" w:eastAsia="en-US"/>
    </w:rPr>
  </w:style>
  <w:style w:type="character" w:customStyle="1" w:styleId="98">
    <w:name w:val="Proposal Char"/>
    <w:link w:val="57"/>
    <w:autoRedefine/>
    <w:qFormat/>
    <w:uiPriority w:val="0"/>
    <w:rPr>
      <w:rFonts w:ascii="Arial" w:hAnsi="Arial" w:eastAsia="等线"/>
      <w:b/>
      <w:bCs/>
      <w:lang w:val="en-GB" w:eastAsia="zh-CN"/>
    </w:rPr>
  </w:style>
  <w:style w:type="paragraph" w:customStyle="1" w:styleId="99">
    <w:name w:val="Figure"/>
    <w:basedOn w:val="1"/>
    <w:next w:val="28"/>
    <w:autoRedefine/>
    <w:qFormat/>
    <w:uiPriority w:val="0"/>
    <w:pPr>
      <w:keepNext/>
      <w:keepLines/>
      <w:overflowPunct w:val="0"/>
      <w:autoSpaceDE w:val="0"/>
      <w:autoSpaceDN w:val="0"/>
      <w:adjustRightInd w:val="0"/>
      <w:spacing w:before="180" w:after="120"/>
      <w:jc w:val="center"/>
      <w:textAlignment w:val="baseline"/>
    </w:pPr>
    <w:rPr>
      <w:rFonts w:ascii="Arial" w:hAnsi="Arial" w:eastAsia="等线"/>
      <w:lang w:eastAsia="zh-CN"/>
    </w:rPr>
  </w:style>
  <w:style w:type="paragraph" w:customStyle="1" w:styleId="100">
    <w:name w:val="3GPP_Header"/>
    <w:basedOn w:val="1"/>
    <w:autoRedefine/>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等线"/>
      <w:b/>
      <w:sz w:val="24"/>
      <w:lang w:eastAsia="zh-CN"/>
    </w:rPr>
  </w:style>
  <w:style w:type="character" w:customStyle="1" w:styleId="101">
    <w:name w:val="Editor's Note Char"/>
    <w:link w:val="84"/>
    <w:autoRedefine/>
    <w:qFormat/>
    <w:uiPriority w:val="0"/>
    <w:rPr>
      <w:rFonts w:ascii="Times New Roman" w:hAnsi="Times New Roman"/>
      <w:color w:val="FF0000"/>
      <w:lang w:val="en-GB" w:eastAsia="en-US"/>
    </w:rPr>
  </w:style>
  <w:style w:type="paragraph" w:customStyle="1" w:styleId="102">
    <w:name w:val="Reference"/>
    <w:basedOn w:val="1"/>
    <w:autoRedefine/>
    <w:qFormat/>
    <w:uiPriority w:val="0"/>
    <w:pPr>
      <w:numPr>
        <w:ilvl w:val="0"/>
        <w:numId w:val="3"/>
      </w:numPr>
      <w:overflowPunct w:val="0"/>
      <w:autoSpaceDE w:val="0"/>
      <w:autoSpaceDN w:val="0"/>
      <w:adjustRightInd w:val="0"/>
      <w:spacing w:after="120"/>
      <w:jc w:val="both"/>
      <w:textAlignment w:val="baseline"/>
    </w:pPr>
    <w:rPr>
      <w:rFonts w:ascii="Arial" w:hAnsi="Arial" w:eastAsia="等线"/>
      <w:lang w:eastAsia="zh-CN"/>
    </w:rPr>
  </w:style>
  <w:style w:type="character" w:customStyle="1" w:styleId="103">
    <w:name w:val="B1 Char"/>
    <w:link w:val="85"/>
    <w:autoRedefine/>
    <w:qFormat/>
    <w:locked/>
    <w:uiPriority w:val="0"/>
    <w:rPr>
      <w:rFonts w:ascii="Times New Roman" w:hAnsi="Times New Roman"/>
      <w:lang w:val="en-GB" w:eastAsia="en-US"/>
    </w:rPr>
  </w:style>
  <w:style w:type="character" w:customStyle="1" w:styleId="104">
    <w:name w:val="B2 Char"/>
    <w:link w:val="86"/>
    <w:autoRedefine/>
    <w:qFormat/>
    <w:uiPriority w:val="0"/>
    <w:rPr>
      <w:rFonts w:ascii="Times New Roman" w:hAnsi="Times New Roman"/>
      <w:lang w:val="en-GB" w:eastAsia="en-US"/>
    </w:rPr>
  </w:style>
  <w:style w:type="character" w:customStyle="1" w:styleId="105">
    <w:name w:val="B3 Char"/>
    <w:link w:val="87"/>
    <w:autoRedefine/>
    <w:qFormat/>
    <w:uiPriority w:val="0"/>
    <w:rPr>
      <w:rFonts w:ascii="Times New Roman" w:hAnsi="Times New Roman"/>
      <w:lang w:val="en-GB" w:eastAsia="en-US"/>
    </w:rPr>
  </w:style>
  <w:style w:type="character" w:customStyle="1" w:styleId="106">
    <w:name w:val="B4 Char"/>
    <w:link w:val="88"/>
    <w:autoRedefine/>
    <w:qFormat/>
    <w:uiPriority w:val="0"/>
    <w:rPr>
      <w:rFonts w:ascii="Times New Roman" w:hAnsi="Times New Roman"/>
      <w:lang w:val="en-GB" w:eastAsia="en-US"/>
    </w:rPr>
  </w:style>
  <w:style w:type="character" w:customStyle="1" w:styleId="107">
    <w:name w:val="TAL Car"/>
    <w:link w:val="63"/>
    <w:autoRedefine/>
    <w:qFormat/>
    <w:uiPriority w:val="0"/>
    <w:rPr>
      <w:rFonts w:ascii="Arial" w:hAnsi="Arial"/>
      <w:sz w:val="18"/>
      <w:lang w:val="en-GB" w:eastAsia="en-US"/>
    </w:rPr>
  </w:style>
  <w:style w:type="character" w:customStyle="1" w:styleId="108">
    <w:name w:val="TAC Char"/>
    <w:link w:val="62"/>
    <w:autoRedefine/>
    <w:qFormat/>
    <w:uiPriority w:val="0"/>
    <w:rPr>
      <w:rFonts w:ascii="Arial" w:hAnsi="Arial"/>
      <w:sz w:val="18"/>
      <w:lang w:val="en-GB" w:eastAsia="en-US"/>
    </w:rPr>
  </w:style>
  <w:style w:type="character" w:customStyle="1" w:styleId="109">
    <w:name w:val="TAH Car"/>
    <w:link w:val="61"/>
    <w:autoRedefine/>
    <w:qFormat/>
    <w:uiPriority w:val="0"/>
    <w:rPr>
      <w:rFonts w:ascii="Arial" w:hAnsi="Arial"/>
      <w:b/>
      <w:sz w:val="18"/>
      <w:lang w:val="en-GB" w:eastAsia="en-US"/>
    </w:rPr>
  </w:style>
  <w:style w:type="character" w:customStyle="1" w:styleId="110">
    <w:name w:val="TH Char"/>
    <w:link w:val="65"/>
    <w:autoRedefine/>
    <w:qFormat/>
    <w:uiPriority w:val="0"/>
    <w:rPr>
      <w:rFonts w:ascii="Arial" w:hAnsi="Arial"/>
      <w:b/>
      <w:lang w:val="en-GB" w:eastAsia="en-US"/>
    </w:rPr>
  </w:style>
  <w:style w:type="character" w:customStyle="1" w:styleId="111">
    <w:name w:val="TF Char"/>
    <w:link w:val="64"/>
    <w:autoRedefine/>
    <w:qFormat/>
    <w:locked/>
    <w:uiPriority w:val="0"/>
    <w:rPr>
      <w:rFonts w:ascii="Arial" w:hAnsi="Arial"/>
      <w:b/>
      <w:lang w:val="en-GB" w:eastAsia="en-US"/>
    </w:rPr>
  </w:style>
  <w:style w:type="paragraph" w:customStyle="1" w:styleId="112">
    <w:name w:val="Observation"/>
    <w:basedOn w:val="57"/>
    <w:autoRedefine/>
    <w:qFormat/>
    <w:uiPriority w:val="0"/>
    <w:pPr>
      <w:numPr>
        <w:ilvl w:val="0"/>
        <w:numId w:val="4"/>
      </w:numPr>
    </w:pPr>
  </w:style>
  <w:style w:type="paragraph" w:customStyle="1" w:styleId="113">
    <w:name w:val="Normaö"/>
    <w:basedOn w:val="3"/>
    <w:autoRedefine/>
    <w:qFormat/>
    <w:uiPriority w:val="0"/>
    <w:pPr>
      <w:numPr>
        <w:ilvl w:val="1"/>
        <w:numId w:val="5"/>
      </w:numPr>
      <w:tabs>
        <w:tab w:val="left" w:pos="432"/>
      </w:tabs>
      <w:overflowPunct w:val="0"/>
      <w:autoSpaceDE w:val="0"/>
      <w:autoSpaceDN w:val="0"/>
      <w:adjustRightInd w:val="0"/>
      <w:textAlignment w:val="baseline"/>
    </w:pPr>
    <w:rPr>
      <w:rFonts w:eastAsia="等线"/>
      <w:szCs w:val="32"/>
      <w:lang w:eastAsia="zh-CN"/>
    </w:rPr>
  </w:style>
  <w:style w:type="paragraph" w:customStyle="1" w:styleId="114">
    <w:name w:val="Revision"/>
    <w:autoRedefine/>
    <w:semiHidden/>
    <w:qFormat/>
    <w:uiPriority w:val="99"/>
    <w:rPr>
      <w:rFonts w:ascii="Arial" w:hAnsi="Arial" w:eastAsia="等线" w:cs="Times New Roman"/>
      <w:lang w:val="en-GB" w:eastAsia="zh-CN" w:bidi="ar-SA"/>
    </w:rPr>
  </w:style>
  <w:style w:type="paragraph" w:styleId="115">
    <w:name w:val="List Paragraph"/>
    <w:basedOn w:val="1"/>
    <w:link w:val="116"/>
    <w:autoRedefine/>
    <w:qFormat/>
    <w:uiPriority w:val="34"/>
    <w:pPr>
      <w:spacing w:after="200" w:line="276" w:lineRule="auto"/>
      <w:ind w:left="720"/>
      <w:contextualSpacing/>
    </w:pPr>
    <w:rPr>
      <w:rFonts w:ascii="Calibri" w:hAnsi="Calibri" w:eastAsia="Calibri"/>
      <w:sz w:val="22"/>
      <w:szCs w:val="22"/>
      <w:lang w:val="en-US"/>
    </w:rPr>
  </w:style>
  <w:style w:type="character" w:customStyle="1" w:styleId="116">
    <w:name w:val="列表段落 字符"/>
    <w:link w:val="115"/>
    <w:autoRedefine/>
    <w:qFormat/>
    <w:locked/>
    <w:uiPriority w:val="34"/>
    <w:rPr>
      <w:rFonts w:ascii="Calibri" w:hAnsi="Calibri" w:eastAsia="Calibri"/>
      <w:sz w:val="22"/>
      <w:szCs w:val="22"/>
      <w:lang w:val="en-US" w:eastAsia="en-US"/>
    </w:rPr>
  </w:style>
  <w:style w:type="paragraph" w:customStyle="1" w:styleId="117">
    <w:name w:val="Doc-text2"/>
    <w:basedOn w:val="1"/>
    <w:link w:val="118"/>
    <w:autoRedefine/>
    <w:qFormat/>
    <w:uiPriority w:val="0"/>
    <w:pPr>
      <w:tabs>
        <w:tab w:val="left" w:pos="1622"/>
      </w:tabs>
      <w:spacing w:after="0"/>
      <w:ind w:left="1622" w:hanging="363"/>
    </w:pPr>
    <w:rPr>
      <w:rFonts w:ascii="Arial" w:hAnsi="Arial" w:eastAsia="MS Mincho"/>
      <w:szCs w:val="24"/>
      <w:lang w:eastAsia="en-GB"/>
    </w:rPr>
  </w:style>
  <w:style w:type="character" w:customStyle="1" w:styleId="118">
    <w:name w:val="Doc-text2 Char"/>
    <w:link w:val="117"/>
    <w:autoRedefine/>
    <w:qFormat/>
    <w:uiPriority w:val="0"/>
    <w:rPr>
      <w:rFonts w:ascii="Arial" w:hAnsi="Arial" w:eastAsia="MS Mincho"/>
      <w:szCs w:val="24"/>
      <w:lang w:val="en-GB" w:eastAsia="en-GB"/>
    </w:rPr>
  </w:style>
  <w:style w:type="character" w:customStyle="1" w:styleId="119">
    <w:name w:val="Char Char7"/>
    <w:autoRedefine/>
    <w:qFormat/>
    <w:uiPriority w:val="0"/>
    <w:rPr>
      <w:rFonts w:ascii="Arial" w:hAnsi="Arial" w:eastAsia="MS Mincho" w:cs="Arial"/>
      <w:b/>
      <w:bCs/>
      <w:iCs/>
      <w:sz w:val="28"/>
      <w:szCs w:val="28"/>
      <w:lang w:val="en-GB" w:eastAsia="en-GB" w:bidi="ar-SA"/>
    </w:rPr>
  </w:style>
  <w:style w:type="character" w:customStyle="1" w:styleId="120">
    <w:name w:val="NO Char"/>
    <w:link w:val="66"/>
    <w:autoRedefine/>
    <w:qFormat/>
    <w:uiPriority w:val="0"/>
    <w:rPr>
      <w:rFonts w:ascii="Times New Roman" w:hAnsi="Times New Roman"/>
      <w:lang w:val="en-GB" w:eastAsia="en-US"/>
    </w:rPr>
  </w:style>
  <w:style w:type="paragraph" w:customStyle="1" w:styleId="121">
    <w:name w:val="Agreement"/>
    <w:basedOn w:val="1"/>
    <w:next w:val="117"/>
    <w:autoRedefine/>
    <w:qFormat/>
    <w:uiPriority w:val="0"/>
    <w:pPr>
      <w:numPr>
        <w:ilvl w:val="0"/>
        <w:numId w:val="6"/>
      </w:numPr>
      <w:spacing w:before="60" w:after="0"/>
    </w:pPr>
    <w:rPr>
      <w:rFonts w:ascii="Arial" w:hAnsi="Arial" w:eastAsia="MS Mincho"/>
      <w:b/>
      <w:szCs w:val="24"/>
      <w:lang w:eastAsia="en-GB"/>
    </w:rPr>
  </w:style>
  <w:style w:type="character" w:customStyle="1" w:styleId="122">
    <w:name w:val="PL Char"/>
    <w:link w:val="74"/>
    <w:autoRedefine/>
    <w:qFormat/>
    <w:uiPriority w:val="0"/>
    <w:rPr>
      <w:rFonts w:ascii="Courier New" w:hAnsi="Courier New"/>
      <w:sz w:val="16"/>
      <w:lang w:val="en-GB" w:eastAsia="en-US"/>
    </w:rPr>
  </w:style>
  <w:style w:type="character" w:customStyle="1" w:styleId="123">
    <w:name w:val="skip"/>
    <w:autoRedefine/>
    <w:qFormat/>
    <w:uiPriority w:val="0"/>
  </w:style>
  <w:style w:type="character" w:customStyle="1" w:styleId="124">
    <w:name w:val="apple-converted-space"/>
    <w:autoRedefine/>
    <w:qFormat/>
    <w:uiPriority w:val="0"/>
  </w:style>
  <w:style w:type="character" w:customStyle="1" w:styleId="125">
    <w:name w:val="B1 Char1"/>
    <w:autoRedefine/>
    <w:qFormat/>
    <w:uiPriority w:val="0"/>
    <w:rPr>
      <w:lang w:val="en-GB" w:eastAsia="en-US"/>
    </w:rPr>
  </w:style>
  <w:style w:type="character" w:customStyle="1" w:styleId="126">
    <w:name w:val="批注文字 字符"/>
    <w:autoRedefine/>
    <w:qFormat/>
    <w:uiPriority w:val="99"/>
    <w:rPr>
      <w:rFonts w:eastAsia="Times New Roman"/>
    </w:rPr>
  </w:style>
  <w:style w:type="character" w:customStyle="1" w:styleId="127">
    <w:name w:val="B3 Char2"/>
    <w:autoRedefine/>
    <w:qFormat/>
    <w:uiPriority w:val="0"/>
    <w:rPr>
      <w:rFonts w:eastAsia="Times New Roman"/>
      <w:lang w:val="en-GB" w:eastAsia="ja-JP"/>
    </w:rPr>
  </w:style>
  <w:style w:type="paragraph" w:customStyle="1" w:styleId="128">
    <w:name w:val="B6"/>
    <w:basedOn w:val="89"/>
    <w:autoRedefine/>
    <w:qFormat/>
    <w:uiPriority w:val="0"/>
    <w:pPr>
      <w:overflowPunct w:val="0"/>
      <w:autoSpaceDE w:val="0"/>
      <w:autoSpaceDN w:val="0"/>
      <w:adjustRightInd w:val="0"/>
      <w:ind w:left="1985"/>
      <w:textAlignment w:val="baseline"/>
    </w:pPr>
    <w:rPr>
      <w:rFonts w:ascii="Arial" w:hAnsi="Arial" w:eastAsia="等线"/>
    </w:rPr>
  </w:style>
  <w:style w:type="paragraph" w:customStyle="1" w:styleId="129">
    <w:name w:val="B7"/>
    <w:basedOn w:val="128"/>
    <w:autoRedefine/>
    <w:qFormat/>
    <w:uiPriority w:val="0"/>
    <w:pPr>
      <w:ind w:left="2269"/>
    </w:pPr>
  </w:style>
  <w:style w:type="character" w:customStyle="1" w:styleId="130">
    <w:name w:val="ReviewText Char"/>
    <w:link w:val="131"/>
    <w:autoRedefine/>
    <w:qFormat/>
    <w:uiPriority w:val="0"/>
    <w:rPr>
      <w:rFonts w:ascii="Arial" w:hAnsi="Arial" w:cs="Arial"/>
    </w:rPr>
  </w:style>
  <w:style w:type="paragraph" w:customStyle="1" w:styleId="131">
    <w:name w:val="ReviewText"/>
    <w:basedOn w:val="1"/>
    <w:link w:val="130"/>
    <w:autoRedefine/>
    <w:qFormat/>
    <w:uiPriority w:val="0"/>
    <w:pPr>
      <w:overflowPunct w:val="0"/>
      <w:autoSpaceDE w:val="0"/>
      <w:autoSpaceDN w:val="0"/>
      <w:adjustRightInd w:val="0"/>
      <w:spacing w:after="80"/>
      <w:ind w:left="567"/>
      <w:textAlignment w:val="baseline"/>
    </w:pPr>
    <w:rPr>
      <w:rFonts w:ascii="Arial" w:hAnsi="Arial" w:cs="Arial"/>
      <w:lang w:val="fr-FR" w:eastAsia="fr-FR"/>
    </w:rPr>
  </w:style>
  <w:style w:type="character" w:customStyle="1" w:styleId="132">
    <w:name w:val="emailstyle15"/>
    <w:autoRedefine/>
    <w:qFormat/>
    <w:uiPriority w:val="0"/>
    <w:rPr>
      <w:rFonts w:hint="eastAsia" w:ascii="等线" w:hAnsi="等线" w:eastAsia="等线" w:cs="Times New Roman"/>
      <w:color w:val="auto"/>
      <w:sz w:val="21"/>
      <w:szCs w:val="22"/>
    </w:rPr>
  </w:style>
  <w:style w:type="character" w:customStyle="1" w:styleId="133">
    <w:name w:val="TAN Char"/>
    <w:link w:val="76"/>
    <w:autoRedefine/>
    <w:qFormat/>
    <w:locked/>
    <w:uiPriority w:val="0"/>
    <w:rPr>
      <w:rFonts w:ascii="Arial" w:hAnsi="Arial"/>
      <w:sz w:val="18"/>
      <w:lang w:val="en-GB" w:eastAsia="en-US"/>
    </w:rPr>
  </w:style>
  <w:style w:type="character" w:customStyle="1" w:styleId="134">
    <w:name w:val="TAL Char"/>
    <w:autoRedefine/>
    <w:qFormat/>
    <w:uiPriority w:val="0"/>
    <w:rPr>
      <w:rFonts w:ascii="Arial" w:hAnsi="Arial"/>
      <w:sz w:val="18"/>
      <w:lang w:val="en-GB" w:eastAsia="en-US"/>
    </w:rPr>
  </w:style>
  <w:style w:type="paragraph" w:customStyle="1" w:styleId="135">
    <w:name w:val="main text"/>
    <w:basedOn w:val="1"/>
    <w:link w:val="136"/>
    <w:autoRedefine/>
    <w:qFormat/>
    <w:uiPriority w:val="0"/>
    <w:pPr>
      <w:spacing w:before="60" w:after="60" w:line="288" w:lineRule="auto"/>
      <w:ind w:firstLine="200" w:firstLineChars="200"/>
      <w:jc w:val="both"/>
    </w:pPr>
    <w:rPr>
      <w:rFonts w:eastAsia="Malgun Gothic"/>
      <w:lang w:eastAsia="ko-KR"/>
    </w:rPr>
  </w:style>
  <w:style w:type="character" w:customStyle="1" w:styleId="136">
    <w:name w:val="main text Char"/>
    <w:link w:val="135"/>
    <w:autoRedefine/>
    <w:qFormat/>
    <w:uiPriority w:val="0"/>
    <w:rPr>
      <w:rFonts w:ascii="Times New Roman" w:hAnsi="Times New Roman" w:eastAsia="Malgun Gothic"/>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4051</Words>
  <Characters>23096</Characters>
  <Lines>192</Lines>
  <Paragraphs>54</Paragraphs>
  <TotalTime>0</TotalTime>
  <ScaleCrop>false</ScaleCrop>
  <LinksUpToDate>false</LinksUpToDate>
  <CharactersWithSpaces>27093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2023-11-22T09:54:00Z</dcterms:created>
  <dc:creator>Michael Sanders, John M Meredith</dc:creator>
  <cp:lastModifiedBy>xiaowei_xiaomi</cp:lastModifiedBy>
  <cp:lastPrinted>2411-12-31T23:00:00Z</cp:lastPrinted>
  <dcterms:modified xsi:type="dcterms:W3CDTF">2024-02-19T09:12:31Z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9fbf4079ef11ee800049a1000049a1">
    <vt:lpwstr>CWM04l6ZZPVgxbd57n9Fre3/xiFRnHm+E3ccXUrR3dAvgBREyr637QsrJD1wF5sV9WPL+78QUg9+TyGaDLg0SsRmQ==</vt:lpwstr>
  </property>
  <property fmtid="{D5CDD505-2E9C-101B-9397-08002B2CF9AE}" pid="22" name="KSOProductBuildVer">
    <vt:lpwstr>2052-12.1.0.16388</vt:lpwstr>
  </property>
  <property fmtid="{D5CDD505-2E9C-101B-9397-08002B2CF9AE}" pid="23" name="ICV">
    <vt:lpwstr>F2C0DBB7F3314232820A13EA838F9BE5_12</vt:lpwstr>
  </property>
</Properties>
</file>